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济南新旧动能转换起步区管理委员会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小标宋简体" w:cs="Times New Roman"/>
          <w:spacing w:val="11"/>
          <w:sz w:val="44"/>
          <w:szCs w:val="44"/>
        </w:rPr>
      </w:pPr>
      <w:r>
        <w:rPr>
          <w:rFonts w:hint="eastAsia" w:ascii="方正小标宋简体" w:hAnsi="方正小标宋简体" w:eastAsia="方正小标宋简体" w:cs="方正小标宋简体"/>
          <w:spacing w:val="6"/>
          <w:sz w:val="44"/>
          <w:szCs w:val="44"/>
        </w:rPr>
        <w:t>关于印发《济南新旧动能转换起步区</w:t>
      </w: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年国民经济和社会发展计划》的通知</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年国民经济和社会发展计划》</w:t>
      </w:r>
      <w:r>
        <w:rPr>
          <w:rFonts w:hint="eastAsia" w:ascii="楷体_GB2312" w:hAnsi="楷体_GB2312" w:eastAsia="楷体_GB2312" w:cs="楷体_GB2312"/>
          <w:sz w:val="32"/>
          <w:szCs w:val="32"/>
          <w:lang w:val="en-US" w:eastAsia="zh-CN"/>
        </w:rPr>
        <w:t>已经管委会2025年第2次主任办公会议</w:t>
      </w:r>
      <w:r>
        <w:rPr>
          <w:rFonts w:hint="eastAsia" w:ascii="楷体_GB2312" w:hAnsi="楷体_GB2312" w:eastAsia="楷体_GB2312" w:cs="楷体_GB2312"/>
          <w:sz w:val="32"/>
          <w:szCs w:val="32"/>
        </w:rPr>
        <w:t>审查通过，现印发给你们，请认真贯彻执行。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3</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12</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（联系电话：经济发展部发展改革办公室，66604098）</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Times New Roman" w:hAnsi="Times New Roman" w:eastAsia="方正小标宋简体" w:cs="Times New Roman"/>
          <w:spacing w:val="6"/>
          <w:sz w:val="44"/>
          <w:szCs w:val="44"/>
        </w:rPr>
      </w:pPr>
      <w:r>
        <w:rPr>
          <w:rFonts w:hint="eastAsia" w:ascii="楷体_GB2312" w:hAnsi="楷体_GB2312" w:eastAsia="楷体_GB2312" w:cs="楷体_GB2312"/>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p>
    <w:p>
      <w:pPr>
        <w:pStyle w:val="2"/>
        <w:rPr>
          <w:rFonts w:hint="eastAsia"/>
        </w:rPr>
      </w:pP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济南新旧动能转换起步区</w:t>
      </w: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5</w:t>
      </w:r>
      <w:r>
        <w:rPr>
          <w:rFonts w:hint="eastAsia" w:ascii="方正小标宋简体" w:hAnsi="方正小标宋简体" w:eastAsia="方正小标宋简体" w:cs="方正小标宋简体"/>
          <w:spacing w:val="6"/>
          <w:sz w:val="44"/>
          <w:szCs w:val="44"/>
        </w:rPr>
        <w:t>年国民经济和社会发展计划</w:t>
      </w:r>
    </w:p>
    <w:p>
      <w:pPr>
        <w:keepNext w:val="0"/>
        <w:keepLines w:val="0"/>
        <w:pageBreakBefore w:val="0"/>
        <w:widowControl w:val="0"/>
        <w:kinsoku/>
        <w:wordWrap/>
        <w:overflowPunct/>
        <w:topLinePunct w:val="0"/>
        <w:autoSpaceDE/>
        <w:autoSpaceDN/>
        <w:bidi w:val="0"/>
        <w:spacing w:line="579" w:lineRule="exact"/>
        <w:ind w:left="0"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年国民经济和社会发展计划执行情况</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济南新旧动能转换起步区（以下简称起步区）</w:t>
      </w:r>
      <w:r>
        <w:rPr>
          <w:rFonts w:hint="eastAsia" w:ascii="仿宋_GB2312" w:hAnsi="仿宋_GB2312" w:eastAsia="仿宋_GB2312" w:cs="仿宋_GB2312"/>
          <w:color w:val="000000"/>
          <w:sz w:val="32"/>
          <w:szCs w:val="32"/>
        </w:rPr>
        <w:t>坚决贯彻党中央、国务院重大决策</w:t>
      </w:r>
      <w:r>
        <w:rPr>
          <w:rFonts w:hint="eastAsia" w:ascii="仿宋_GB2312" w:hAnsi="仿宋_GB2312" w:eastAsia="仿宋_GB2312" w:cs="仿宋_GB2312"/>
          <w:color w:val="000000"/>
          <w:sz w:val="32"/>
          <w:szCs w:val="32"/>
          <w:lang w:eastAsia="zh-CN"/>
        </w:rPr>
        <w:t>部署</w:t>
      </w:r>
      <w:r>
        <w:rPr>
          <w:rFonts w:hint="eastAsia" w:ascii="仿宋_GB2312" w:hAnsi="仿宋_GB2312" w:eastAsia="仿宋_GB2312" w:cs="仿宋_GB2312"/>
          <w:color w:val="000000"/>
          <w:sz w:val="32"/>
          <w:szCs w:val="32"/>
        </w:rPr>
        <w:t>，认真落实省委、省政府</w:t>
      </w:r>
      <w:r>
        <w:rPr>
          <w:rFonts w:hint="eastAsia" w:ascii="仿宋_GB2312" w:hAnsi="仿宋_GB2312" w:eastAsia="仿宋_GB2312" w:cs="仿宋_GB2312"/>
          <w:color w:val="000000"/>
          <w:sz w:val="32"/>
          <w:szCs w:val="32"/>
          <w:lang w:eastAsia="zh-CN"/>
        </w:rPr>
        <w:t>和市委、市政府工作安排</w:t>
      </w:r>
      <w:r>
        <w:rPr>
          <w:rFonts w:hint="eastAsia" w:ascii="仿宋_GB2312" w:hAnsi="仿宋_GB2312" w:eastAsia="仿宋_GB2312" w:cs="仿宋_GB2312"/>
          <w:color w:val="000000"/>
          <w:sz w:val="32"/>
          <w:szCs w:val="32"/>
        </w:rPr>
        <w:t>，全力稳增长、促改革、调结构、惠民生、防风险、保稳定，较好完成了</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目标任务。</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（一）健全完善运行机制，经济发展“量质齐升”。</w:t>
      </w:r>
      <w:r>
        <w:rPr>
          <w:rFonts w:hint="eastAsia" w:ascii="仿宋_GB2312" w:hAnsi="仿宋_GB2312" w:eastAsia="仿宋_GB2312" w:cs="仿宋_GB2312"/>
          <w:color w:val="000000"/>
          <w:kern w:val="2"/>
          <w:sz w:val="32"/>
          <w:szCs w:val="32"/>
          <w:lang w:val="en-US" w:eastAsia="zh-CN" w:bidi="ar-SA"/>
        </w:rPr>
        <w:t>突出精准监测、科学研判、靶向施策，搭建经济网格体系，建立常态化走访服务企业机制，主动推送惠企政策，发挥重点企业服务专班效能，全力推进高质量发展。2024年，全区实现地区生产总值178.3亿元，增长18.5%；完成一般公共预算收入21.2亿元，增长101.6%；规模以上工业增加值增长34%；规模以上服务业营业收入（错月）59.1亿元，增长30.8%。工业经济总量大幅增长，全区实现规模以上工业总产值增长30.8%，其中比亚迪全年生产整车超36万辆、实现产值超440亿元。服务业实现快速发展，全年净增规模以上服务业企业5家，全年参与核算的规上服务业营收增长30.8%，持续服务中通仓储快速发展、全年实现营业收入增长68.9%。农业生产平稳向好，农林牧渔总产值增长2.0%，新建高标准农田1.5万亩，累计流转土地13.67万亩，建设“万亩良种繁育孵化区”，建设1.84万亩小麦良种繁育基地，粮食总产23.66万吨，蔬菜、肉蛋奶产量分别增长3%、27.5%。</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（二）紧抓国家政策机遇，有效需求加速释放。</w:t>
      </w:r>
      <w:r>
        <w:rPr>
          <w:rFonts w:hint="eastAsia" w:ascii="仿宋_GB2312" w:hAnsi="仿宋_GB2312" w:eastAsia="仿宋_GB2312" w:cs="仿宋_GB2312"/>
          <w:color w:val="000000"/>
          <w:kern w:val="2"/>
          <w:sz w:val="32"/>
          <w:szCs w:val="32"/>
          <w:lang w:val="en-US" w:eastAsia="zh-CN" w:bidi="ar-SA"/>
        </w:rPr>
        <w:t>持续扩大有效投资，实现全年固定资产投资增长20.8%，基础设施投资增长43.8%，建安投资增长16.8%，房地产开发投资增长78.3%；聚焦示范区建设、产业项目招引、公服配套三大领域，策划储备项目360个，总投资1661亿元；策划储备地方政府专项债券项目74个，债券需求440.4亿元，通过国家审核47个，获批额度210亿元，发行100亿元；争取城中村专项借款授信390亿元、发放111亿元；累计完成土地征收1万亩，完成土地供应1.18万亩；推动196个续建、新开工项目加速实施，11个省级重点项目完成投资125.2亿元，市级重点项目完成投资217.3亿元。消费市场活力度增强，全面落实“两新”政策，开展第三届“家居焕新消费节”等促消费活动9场，通过家电以旧换新带动消费超9亿元；鼓励物流园区转型发展，全区仓储物流园区出租率提升至82%；济南黄河国际会展中心举办35场展会活动，带动经济效益约20亿元；全年社会消费品零售总额完成87.9亿元，增长21.7%，限上零售业销售额完成93.3亿元，增长26.1%。</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lang w:val="en-US" w:eastAsia="zh-CN"/>
        </w:rPr>
        <w:t>着力提升内生发展动力</w:t>
      </w:r>
      <w:r>
        <w:rPr>
          <w:rFonts w:hint="eastAsia" w:ascii="楷体_GB2312" w:hAnsi="楷体_GB2312" w:eastAsia="楷体_GB2312" w:cs="楷体_GB2312"/>
          <w:b w:val="0"/>
          <w:bCs w:val="0"/>
          <w:sz w:val="32"/>
          <w:szCs w:val="32"/>
          <w:highlight w:val="none"/>
          <w:lang w:eastAsia="zh-CN"/>
        </w:rPr>
        <w:t>，新动能持续集聚增强。</w:t>
      </w:r>
      <w:r>
        <w:rPr>
          <w:rFonts w:hint="eastAsia" w:ascii="仿宋_GB2312" w:hAnsi="仿宋_GB2312" w:eastAsia="仿宋_GB2312" w:cs="仿宋_GB2312"/>
          <w:color w:val="000000"/>
          <w:kern w:val="2"/>
          <w:sz w:val="32"/>
          <w:szCs w:val="32"/>
          <w:lang w:val="en-US" w:eastAsia="zh-CN" w:bidi="ar-SA"/>
        </w:rPr>
        <w:t>创新支撑能力稳步提升，成立中新绿色科技研究院、黄河机器人创新院。中科核技术研究院完成20余款核技术应用产品工程化开发，激光装备产业大脑入选省级建设试点；新获批国家级博士后科研工作站1家、省级工程研究中心1家，新增市级重点实验室1家、市级工程研究中心1家、市级双创基地平台2家，入选省泰山产业领军人才1位、济南市“海右翘楚”顶尖人才1位；新增省创新型中小企业12家、省“专精特新”中小企业7家、省瞪羚企业2家，认定高新技术企业37家，入库国家科技型中小企业157家，入选2024年山东省高端品牌培育企业2家，首个省级标准化试点通过评估验收。主导产业能级持续跃升，制定《济南新旧动能转换起步区产业发展三年行动计划（2024-2026年）》，发布绿色低碳高质量发展产业机会清单；与济阳区联合布局新能源汽车零部件扩产项目，加强与临空组团比亚迪刀片电池、半导体等项目协同，2024年起步区新能源汽车产业链规模约550亿元；爱旭太阳能电池组件项目顺利开工，年内实现首块组件下线；电信智算中心启动建设。未来产业加速布局，编制《中新济南未来产业城发展规划》和《济南新旧动能转换起步区未来产业发展及山东未来产业园建设实施方案》；绿动氢能3条氢能源生产线加力生产，首批56辆搭载起步区产氢能电池的商用车上路运行，氢能无人机、氢能助力车完成研制，氢能撬装站、综合能源站加快布局；山东能源钙钛矿光伏电池项目首片百兆瓦钙钛矿光伏电池成功下线。</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（四）深入实施重大战略，区域发展优势加快塑强。</w:t>
      </w:r>
      <w:r>
        <w:rPr>
          <w:rFonts w:hint="eastAsia" w:ascii="仿宋_GB2312" w:hAnsi="仿宋_GB2312" w:eastAsia="仿宋_GB2312" w:cs="仿宋_GB2312"/>
          <w:color w:val="000000"/>
          <w:kern w:val="2"/>
          <w:sz w:val="32"/>
          <w:szCs w:val="32"/>
          <w:lang w:val="en-US" w:eastAsia="zh-CN" w:bidi="ar-SA"/>
        </w:rPr>
        <w:t>黄河重大国家战略深入实施，配合完成国家发展改革委对《济南新旧动能转换起步区建设实施方案》阶段性评估，将起步区建设发展成效刊发在《国家发展改革委信息》并呈报中办、中财办、国办；省委常委会会议暨省绿色低碳高质量发展先行区建设领导小组会议在起步区召开，明确起步区是推动先行区建设的重要载体平台和促进全省高质量发展的重要增长极；成功承办全省沿黄地区一体化推动黄河流域生态保护和高质量发展工作会议。中新经贸合作务实推进，谋划启动中新济南未来产业城建设，挂牌成立中新（济南）城市发展有限公司，开工建设中新未来公园，山东（新加坡）企业服务中心、雅遇公寓等项目正式运营，成立新加坡“双招双引”工作站、新加坡（济南）硬科技成果转化中心。重大区域战略支点作用明显增强，持续衔接长三角、粤港澳地区，宾理科技高端新能源汽车工业园、浙江金固济南新材料产业园等项目成功签约，上海和达、普威技研等3家汽车供应商企业落地生产线。区域联动发展机制更加健全，召开“起齐禹临”一体化发展会议，起步区、齐河县、禹城市、临邑县四地推介产业发展机会清单并签署《“起齐禹临”一体化发展战略合作协议》，邀请10余家高成长企业现场对接；围绕规划、数据、产业、资源“四个统筹”，印发《济南新旧动能转换起步区全域协同联动发展联席会议制度》，推动全域优势资源汇聚。</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（五）统筹城乡融合发展，绿色智慧宜居新城加快建设。</w:t>
      </w:r>
      <w:r>
        <w:rPr>
          <w:rFonts w:hint="eastAsia" w:ascii="仿宋_GB2312" w:hAnsi="仿宋_GB2312" w:eastAsia="仿宋_GB2312" w:cs="仿宋_GB2312"/>
          <w:color w:val="000000"/>
          <w:kern w:val="2"/>
          <w:sz w:val="32"/>
          <w:szCs w:val="32"/>
          <w:lang w:val="en-US" w:eastAsia="zh-CN" w:bidi="ar-SA"/>
        </w:rPr>
        <w:t>立体交通网络更加畅达，黄河大桥复线桥、齐鲁黄河大桥顺利通车，跨河通道达11处，平均间距缩短至4公里，黄岗路隧道、航天大道隧道、济滨公铁大桥3处跨河通道加快建设，济南轨道交通7号线加快实施，累计启动290余公里市政道路建设，180余公里具备通车条件，黄河大道二期、鸣晖街等骨干道路启动实施，实施“四好农村路”公路提升58公里。公共服务配套加快完善，山大二院北院区开诊，综合医疗中心全面开工，黄河体育中心“一场两馆”加快建设，太平水库启动建设，大桥热源厂供热扩能，崔寨再生水厂投入运营，省实验中学鹊华校区实现首期招生330人，都市阳台九年一贯制学校和大桥商务办公区初中、小学项目启动实施，首个区级养老服务中心项目竣工，建成安置房238万平方米，组织回迁2.2万人，保障性租赁住房交付1万套。绿色能源体系加速构建,获批全省唯一综合智慧能源试点、全市唯一省能源绿色低碳转型试点，构建“H”型“骨架”电网，启动500千伏先行变电站3处变电设施建设，建成投运起步区首座“光储充放一体化”充电示范站，加快推进“聊热入济”起步区段工程建设，新备案153个光伏发电项目，发电装机容量为40兆瓦，2处生物质发电项目并网运行，年发电量4.3亿度。生态环境质量持续优化，持续打好蓝天碧水净土保卫战，PM2.5年均浓度首次达到世界卫生组织第一阶段35微克每立方米的目标值，国省市控河流水质断面达标率100%。新增绿地面积25万平方米，累计完成河道治理43.1公里，起步区成功入选国家深化气候适应型城市建设试点，新型建材行业清洁生产整体审核创新国家试点项目获得全国第三名。</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（六）持续推动改革开放，营商环境不断优化。</w:t>
      </w:r>
      <w:r>
        <w:rPr>
          <w:rFonts w:hint="eastAsia" w:ascii="仿宋_GB2312" w:hAnsi="仿宋_GB2312" w:eastAsia="仿宋_GB2312" w:cs="仿宋_GB2312"/>
          <w:color w:val="000000"/>
          <w:kern w:val="2"/>
          <w:sz w:val="32"/>
          <w:szCs w:val="32"/>
          <w:lang w:val="en-US" w:eastAsia="zh-CN" w:bidi="ar-SA"/>
        </w:rPr>
        <w:t>市场化改革加力推进，主动服务和融入全国统一大市场建设，被国家市场监管总局授予外商投资企业登记管理权，开展市场准入、妨碍公平竞争审查排查治理工作，全面整治不当干预市场行为；建立支持小微企业融资协调机制，摸排起步区小微企业11531家，累计授信户数250家，获得贷款户数249家。企业改革高效推动，先投集团获评AAA信用评级，年度获批金融机构授信790.2亿元，融资约400亿元，在上交所成功发行首笔中长期公司债券。落地全省首支AIC股权投资基金，推动省国资委等10部门印发实施《支持省属企业参与起步区建设的若干政策》。政务服务改革持续深化，推动“三集中三到位”改革，设立17名首席审批事务官和42名审批事务官，推动31项政务服务事项延伸基层，完成全市首个区级“云大厅”企业开办业务登记，办事大厅全部共1336项事项实现“一套材料、一次提交”；</w:t>
      </w:r>
      <w:r>
        <w:rPr>
          <w:rFonts w:hint="default" w:ascii="仿宋_GB2312" w:hAnsi="仿宋_GB2312" w:eastAsia="仿宋_GB2312" w:cs="仿宋_GB2312"/>
          <w:color w:val="000000"/>
          <w:kern w:val="2"/>
          <w:sz w:val="32"/>
          <w:szCs w:val="32"/>
          <w:lang w:val="en-US" w:eastAsia="zh-CN" w:bidi="ar-SA"/>
        </w:rPr>
        <w:t>推出98个</w:t>
      </w:r>
      <w:r>
        <w:rPr>
          <w:rFonts w:hint="eastAsia" w:ascii="仿宋_GB2312" w:hAnsi="仿宋_GB2312" w:eastAsia="仿宋_GB2312" w:cs="仿宋_GB2312"/>
          <w:color w:val="000000"/>
          <w:kern w:val="2"/>
          <w:sz w:val="32"/>
          <w:szCs w:val="32"/>
          <w:lang w:val="en-US" w:eastAsia="zh-CN" w:bidi="ar-SA"/>
        </w:rPr>
        <w:t>“高效办成一件事”</w:t>
      </w:r>
      <w:r>
        <w:rPr>
          <w:rFonts w:hint="default" w:ascii="仿宋_GB2312" w:hAnsi="仿宋_GB2312" w:eastAsia="仿宋_GB2312" w:cs="仿宋_GB2312"/>
          <w:color w:val="000000"/>
          <w:kern w:val="2"/>
          <w:sz w:val="32"/>
          <w:szCs w:val="32"/>
          <w:lang w:val="en-US" w:eastAsia="zh-CN" w:bidi="ar-SA"/>
        </w:rPr>
        <w:t>服务场景，线下设立4个服务专区（窗口），办理时限平均压缩50.6%</w:t>
      </w:r>
      <w:r>
        <w:rPr>
          <w:rFonts w:hint="eastAsia" w:ascii="仿宋_GB2312" w:hAnsi="仿宋_GB2312" w:eastAsia="仿宋_GB2312" w:cs="仿宋_GB2312"/>
          <w:color w:val="000000"/>
          <w:kern w:val="2"/>
          <w:sz w:val="32"/>
          <w:szCs w:val="32"/>
          <w:lang w:val="en-US" w:eastAsia="zh-CN" w:bidi="ar-SA"/>
        </w:rPr>
        <w:t>；完成全省首笔惠企政策“直达快享”线上全流程办理，以及全市首批省级政策转移支付线上全流程兑现，共涉及资金603.85万余元，惠及企业8家。孪生底座“加固工程”有效实施，整合GIS、BIM、CIM、IOT等城市时空信息要素，搭建“全面感知、同生共长、数实融合、瞬间响应”的数字孪生平台，推动42个超高精度单体建筑模型建模，接入1.1万余条动静态数据，为数字孪生城市建设提供可视化空间底座支撑。对外交流持续加强，成功组织15批次46人次赴新加坡、荷兰、日本等13个国家地区开展合作交流，印发《济南新旧动能转换起步区“类海外”环境建设三年行动计划》，签署中非国际贸易战略合作协议。外贸外资发展提速提质，加快建设跨境电商产业园，新增外贸主体17家，推行集群注册登记改革，148家企业注册落地，全年预计实现货物进出口总额同比增长20.1%，全年实际使用外资14237万美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sz w:val="32"/>
          <w:szCs w:val="32"/>
          <w:highlight w:val="none"/>
          <w:lang w:eastAsia="zh-CN"/>
        </w:rPr>
        <w:t>（七）兜准兜</w:t>
      </w:r>
      <w:r>
        <w:rPr>
          <w:rFonts w:hint="eastAsia" w:ascii="楷体_GB2312" w:hAnsi="楷体_GB2312" w:eastAsia="楷体_GB2312" w:cs="楷体_GB2312"/>
          <w:b w:val="0"/>
          <w:bCs w:val="0"/>
          <w:sz w:val="32"/>
          <w:szCs w:val="32"/>
          <w:highlight w:val="none"/>
          <w:lang w:val="en-US" w:eastAsia="zh-CN"/>
        </w:rPr>
        <w:t>牢</w:t>
      </w:r>
      <w:r>
        <w:rPr>
          <w:rFonts w:hint="eastAsia" w:ascii="楷体_GB2312" w:hAnsi="楷体_GB2312" w:eastAsia="楷体_GB2312" w:cs="楷体_GB2312"/>
          <w:b w:val="0"/>
          <w:bCs w:val="0"/>
          <w:sz w:val="32"/>
          <w:szCs w:val="32"/>
          <w:highlight w:val="none"/>
          <w:lang w:eastAsia="zh-CN"/>
        </w:rPr>
        <w:t>“一排底线”，民生</w:t>
      </w:r>
      <w:r>
        <w:rPr>
          <w:rFonts w:hint="eastAsia" w:ascii="楷体_GB2312" w:hAnsi="楷体_GB2312" w:eastAsia="楷体_GB2312" w:cs="楷体_GB2312"/>
          <w:b w:val="0"/>
          <w:bCs w:val="0"/>
          <w:sz w:val="32"/>
          <w:szCs w:val="32"/>
          <w:highlight w:val="none"/>
          <w:lang w:val="en-US" w:eastAsia="zh-CN"/>
        </w:rPr>
        <w:t>保障能力</w:t>
      </w:r>
      <w:r>
        <w:rPr>
          <w:rFonts w:hint="eastAsia" w:ascii="楷体_GB2312" w:hAnsi="楷体_GB2312" w:eastAsia="楷体_GB2312" w:cs="楷体_GB2312"/>
          <w:b w:val="0"/>
          <w:bCs w:val="0"/>
          <w:sz w:val="32"/>
          <w:szCs w:val="32"/>
          <w:highlight w:val="none"/>
          <w:lang w:eastAsia="zh-CN"/>
        </w:rPr>
        <w:t>不断增强。</w:t>
      </w:r>
      <w:r>
        <w:rPr>
          <w:rFonts w:hint="eastAsia" w:ascii="仿宋_GB2312" w:hAnsi="仿宋_GB2312" w:eastAsia="仿宋_GB2312" w:cs="仿宋_GB2312"/>
          <w:color w:val="000000"/>
          <w:sz w:val="32"/>
          <w:szCs w:val="32"/>
          <w:lang w:val="en-US" w:eastAsia="zh-CN"/>
        </w:rPr>
        <w:t>社会保障体系不断完善，提高困难群众救助保障标准5%以上，累计落实各类保障资金5200余万元；推动养老服务向基层延伸，鹊华九里居理想社区日间照料中心、银丰揽翠园日间照料中心投入运营；</w:t>
      </w:r>
      <w:r>
        <w:rPr>
          <w:rFonts w:hint="eastAsia" w:ascii="仿宋_GB2312" w:hAnsi="仿宋_GB2312" w:eastAsia="仿宋_GB2312" w:cs="仿宋_GB2312"/>
          <w:color w:val="000000"/>
          <w:sz w:val="32"/>
          <w:szCs w:val="32"/>
          <w:lang w:val="en-US"/>
        </w:rPr>
        <w:t>完成464名</w:t>
      </w:r>
      <w:r>
        <w:rPr>
          <w:rFonts w:hint="eastAsia" w:ascii="仿宋_GB2312" w:hAnsi="仿宋_GB2312" w:eastAsia="仿宋_GB2312" w:cs="仿宋_GB2312"/>
          <w:color w:val="000000"/>
          <w:sz w:val="32"/>
          <w:szCs w:val="32"/>
          <w:lang w:val="en-US" w:eastAsia="zh-CN"/>
        </w:rPr>
        <w:t>基干</w:t>
      </w:r>
      <w:r>
        <w:rPr>
          <w:rFonts w:hint="eastAsia" w:ascii="仿宋_GB2312" w:hAnsi="仿宋_GB2312" w:eastAsia="仿宋_GB2312" w:cs="仿宋_GB2312"/>
          <w:color w:val="000000"/>
          <w:sz w:val="32"/>
          <w:szCs w:val="32"/>
          <w:lang w:val="en-US"/>
        </w:rPr>
        <w:t>民兵整组，将58名优秀青年送入军营</w:t>
      </w:r>
      <w:r>
        <w:rPr>
          <w:rFonts w:hint="eastAsia" w:ascii="仿宋_GB2312" w:hAnsi="仿宋_GB2312" w:eastAsia="仿宋_GB2312" w:cs="仿宋_GB2312"/>
          <w:color w:val="000000"/>
          <w:sz w:val="32"/>
          <w:szCs w:val="32"/>
          <w:lang w:val="en-US" w:eastAsia="zh-CN"/>
        </w:rPr>
        <w:t>。医疗保障提质赋能，新增3处社区卫生服务站和3处中心村卫生室，4家卫生院实现CT全覆盖，形成“一院一特色”专病特色科室，在全市率先完成140所村卫生室产权公有，28所村卫生室完成“心电一张网”布设。社会事业快速发展，新增城镇就业3431人，新开发城乡公益岗863人，失业人员再就业比例210.4%；扎实做好技能人才发展工作，开展各类技能培训4348人，完成高技能人才评定1372人；累计为2600余名农民工协调解决工资款4000余万元，持续强化源头预防，完善工资保证金制度，为欠薪治理上好“双保险”。“一排底线”坚实守牢，圆满完成党的二十届三中全会、新中国成立75周年等重要节点维稳安保工作，高效保障15次副部级以上领导调研活动；全省首创“共享法庭”调解模式，做好“四访”工作，有效化解群众矛盾纠纷；完善应急救援体系，开展“解剖式”安全专项检查，加强“九小场所”等领域安全监管，构筑安全屏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一年来，</w:t>
      </w:r>
      <w:r>
        <w:rPr>
          <w:rFonts w:hint="eastAsia" w:ascii="仿宋_GB2312" w:hAnsi="仿宋_GB2312" w:eastAsia="仿宋_GB2312" w:cs="仿宋_GB2312"/>
          <w:color w:val="000000"/>
          <w:sz w:val="32"/>
          <w:szCs w:val="32"/>
          <w:lang w:val="en-US" w:eastAsia="zh-CN"/>
        </w:rPr>
        <w:t>虽然</w:t>
      </w:r>
      <w:r>
        <w:rPr>
          <w:rFonts w:hint="eastAsia" w:ascii="仿宋_GB2312" w:hAnsi="仿宋_GB2312" w:eastAsia="仿宋_GB2312" w:cs="仿宋_GB2312"/>
          <w:color w:val="000000"/>
          <w:sz w:val="32"/>
          <w:szCs w:val="32"/>
          <w:lang w:val="en-US"/>
        </w:rPr>
        <w:t>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val="en-US"/>
        </w:rPr>
        <w:t>经济发展量质齐升</w:t>
      </w:r>
      <w:r>
        <w:rPr>
          <w:rFonts w:hint="eastAsia" w:ascii="仿宋_GB2312" w:hAnsi="仿宋_GB2312" w:eastAsia="仿宋_GB2312" w:cs="仿宋_GB2312"/>
          <w:color w:val="000000"/>
          <w:sz w:val="32"/>
          <w:szCs w:val="32"/>
          <w:lang w:val="en-US" w:eastAsia="zh-CN"/>
        </w:rPr>
        <w:t>、社会事业持续进步</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val="en-US" w:eastAsia="zh-CN"/>
        </w:rPr>
        <w:t>但是仍</w:t>
      </w:r>
      <w:r>
        <w:rPr>
          <w:rFonts w:hint="eastAsia" w:ascii="仿宋_GB2312" w:hAnsi="仿宋_GB2312" w:eastAsia="仿宋_GB2312" w:cs="仿宋_GB2312"/>
          <w:color w:val="000000"/>
          <w:sz w:val="32"/>
          <w:szCs w:val="32"/>
          <w:lang w:val="en-US"/>
        </w:rPr>
        <w:t>存在一些问题和不足，主要是：</w:t>
      </w:r>
      <w:r>
        <w:rPr>
          <w:rFonts w:hint="eastAsia" w:ascii="仿宋_GB2312" w:hAnsi="仿宋_GB2312" w:eastAsia="仿宋_GB2312" w:cs="仿宋_GB2312"/>
          <w:color w:val="000000"/>
          <w:sz w:val="32"/>
          <w:szCs w:val="32"/>
          <w:lang w:val="en-US" w:eastAsia="zh-CN"/>
        </w:rPr>
        <w:t>企业服务机制需要进一步优化，产业结构还不够合理，科技创新对主导产业发展引领性不强；</w:t>
      </w:r>
      <w:r>
        <w:rPr>
          <w:rFonts w:hint="eastAsia" w:ascii="仿宋_GB2312" w:hAnsi="仿宋_GB2312" w:eastAsia="仿宋_GB2312" w:cs="仿宋_GB2312"/>
          <w:color w:val="000000"/>
          <w:sz w:val="32"/>
          <w:szCs w:val="32"/>
          <w:lang w:val="en-US"/>
        </w:rPr>
        <w:t>城市建设任务重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资金保障</w:t>
      </w:r>
      <w:r>
        <w:rPr>
          <w:rFonts w:hint="eastAsia" w:ascii="仿宋_GB2312" w:hAnsi="仿宋_GB2312" w:eastAsia="仿宋_GB2312" w:cs="仿宋_GB2312"/>
          <w:color w:val="000000"/>
          <w:sz w:val="32"/>
          <w:szCs w:val="32"/>
          <w:lang w:val="en-US" w:eastAsia="zh-CN"/>
        </w:rPr>
        <w:t>压力大；</w:t>
      </w:r>
      <w:r>
        <w:rPr>
          <w:rFonts w:hint="eastAsia" w:ascii="仿宋_GB2312" w:hAnsi="仿宋_GB2312" w:eastAsia="仿宋_GB2312" w:cs="仿宋_GB2312"/>
          <w:color w:val="000000"/>
          <w:sz w:val="32"/>
          <w:szCs w:val="32"/>
          <w:lang w:val="en-US"/>
        </w:rPr>
        <w:t>民生保障依然存在短板弱项，教育、医疗、养老、托育等领域还有一些群众“急难愁盼”问题有待解决；城市治理的精细化、现代化水平和安全韧性还需进一步提高；政务服务效能仍需持续提升等。</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lang w:val="en-US" w:eastAsia="zh-CN"/>
        </w:rPr>
        <w:t>2025年经济社会发展总体要求和目标</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2025年是实施“十四五”规划的收官之年，也是深入贯彻落实黄河重大国家战略、加快</w:t>
      </w:r>
      <w:r>
        <w:rPr>
          <w:rFonts w:hint="eastAsia" w:ascii="仿宋_GB2312" w:hAnsi="仿宋_GB2312" w:eastAsia="仿宋_GB2312" w:cs="仿宋_GB2312"/>
          <w:color w:val="000000"/>
          <w:sz w:val="32"/>
          <w:szCs w:val="32"/>
          <w:lang w:val="en-US" w:eastAsia="zh-CN"/>
        </w:rPr>
        <w:t>实现起步区“五年成形”目标之前最后一个完整年份。做好2025年经济社会发展工作，</w:t>
      </w:r>
      <w:r>
        <w:rPr>
          <w:rFonts w:hint="eastAsia" w:ascii="仿宋_GB2312" w:hAnsi="仿宋_GB2312" w:eastAsia="仿宋_GB2312" w:cs="仿宋_GB2312"/>
          <w:color w:val="000000"/>
          <w:sz w:val="32"/>
          <w:szCs w:val="32"/>
          <w:lang w:val="en-US"/>
        </w:rPr>
        <w:t>要坚持以习近平新时代中国特色社会主义思想为指导，全面贯彻落实党的二十大和二十届二中、三中全会精神，深入落实习近平总书记对山东</w:t>
      </w:r>
      <w:r>
        <w:rPr>
          <w:rFonts w:hint="eastAsia" w:ascii="仿宋_GB2312" w:hAnsi="仿宋_GB2312" w:eastAsia="仿宋_GB2312" w:cs="仿宋_GB2312"/>
          <w:color w:val="000000"/>
          <w:sz w:val="32"/>
          <w:szCs w:val="32"/>
          <w:lang w:val="en-US" w:eastAsia="zh-CN"/>
        </w:rPr>
        <w:t>、对济南</w:t>
      </w:r>
      <w:r>
        <w:rPr>
          <w:rFonts w:hint="eastAsia" w:ascii="仿宋_GB2312" w:hAnsi="仿宋_GB2312" w:eastAsia="仿宋_GB2312" w:cs="仿宋_GB2312"/>
          <w:color w:val="000000"/>
          <w:sz w:val="32"/>
          <w:szCs w:val="32"/>
          <w:lang w:val="en-US"/>
        </w:rPr>
        <w:t>工作的重要指示要求，坚持稳中求进工作总基调，完整准确全面贯彻新发展理念，主动服务和融入新发展格局，加快推动高质量发展，进一步全面深化改革，深入实施黄河流域生态保护和高质量发展战略，坚决扛牢“推动山东绿色低碳高质量发展先行区建设的重要载体平台、促进全省高质量发展的重要增长极”使命任务，以“项目提升年”为总牵引，统筹产业集聚、新城建设、改革赋能、生态优先、民生保障等各项工作，努力实现“五年成形”阶段目标，奋力开启“十年成势”新的篇章。</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2025年经济社会发展的主要预期目标是：</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val="en-US" w:eastAsia="zh-CN"/>
        </w:rPr>
        <w:t>关于经济发展</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发展速度：地区生产总值增长8.5%，农林牧渔业总产值增长4%，规模以上工业增加值增长15%，参与核算规模以上服务业营收增长5%，批零住餐业销售（营业）额增长8%，固定资产投资增长10%，社会消费品零售总额增长6%，货物进出口总额增长7%，实际使用外资1亿美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质量效益：金融业增加值完成5.5亿元，建安投资增长10%，房地产开发投资增长6%，工业投资增长26%，工业技改投资增长150%，农业投资增长10%，完成科学研究和技术服务投资11亿元，民间投资占固定资产投资比重提高2个百分点，一般公共预算收入预期努力不产生负偏离。研发经费投入增长12%，规模以上工业企业中有研发活动的企业占比正增长，高新技术产业产值占规模以上工业产值比重提高1个百分点</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完成能耗强度降低任务。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3.民生保障：新增城镇就业4500人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建成交付安置房13948户。</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特色目标：加快中新济南未来产业城发展规划编制工作。全力推进产业导入，加快推进星泉汇、中新未来公园等项目建设。加快已签约及重点在谈项目落地，新增落地新加坡重点项目不少于5个。组建高能级专家顾问团，策划对新合作重点活动。</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5.完成承担的省对市其他考核指标的分解任务。</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关于</w:t>
      </w:r>
      <w:r>
        <w:rPr>
          <w:rFonts w:hint="eastAsia" w:ascii="楷体_GB2312" w:hAnsi="楷体_GB2312" w:eastAsia="楷体_GB2312" w:cs="楷体_GB2312"/>
          <w:color w:val="000000"/>
          <w:sz w:val="32"/>
          <w:szCs w:val="32"/>
          <w:lang w:eastAsia="zh-CN"/>
        </w:rPr>
        <w:t>落实“强省会”战略重点任务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1.实施33个市级重点建设项目，完成投资185.3亿元。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2.引进总投资50亿元项目2个。</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3.新增规模以上工业企业2家、规模以上服务业企业5家、资质以上房地产及建筑业企业15家、限额以上批零住餐企业20家。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4.重点推进示范区“一心四片”重要标志性项目落地建设，总部经济区及都市阳台东组团加快建设，鹊山生态文化区文化园、中新未来产业城先导区加速开发建设，城市服务功能趋于完善。</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强化创新平台载体建设，持续提升中科新经济科创园、济南山东省大学科技园等平台载体效能，发挥科研院所示范引领作用，加快开展技术攻关、科技成果产业化工作，加强科研平台、新型研发机构建设，不断吸引高层次人才集聚，开展重点科研项目不少于5项，申报市级及以上平台载体不少于2项。</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加快塑强现代产业体系，推动爱旭太阳能高效电池组件、比亚迪项目二期等重点项目投产，推动金融业、会展业等服务业快速发展，抓好山东未来产业先导区济南片区及山东未来产业园建设。加强中新济南未来产业城产业研究，积极布局未来产业赛道，推动创新资源要素集聚。</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7.优化绿色低碳发展格局，加强绿色低碳高质量发展顶层设计，推动能源、交通、建筑等各领域绿色低碳创新发展，高标准开展国家减污降碳协同创新试点建设，推动试点任务及建设项目落实落地。</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8.印发实施《济南新旧动能转换起步区农业农村发展规划》，启动北方种业之都总部基地等项目建设。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9.深入推进综合智慧能源试点建设，布局车网互动综合充电站、新能源应用场景创新等项目，建设新型电力系统示范。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10.全面落实、用好城中村改造政策，新策划项目2个，加快推进“两年三节点”剩余建设任务，安置房全面达到建成条件。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11.配合加快黄岗路穿黄隧道、航天大道穿黄隧道工程（I期）、轨道交通7号线等项目建设，协助推动宁津高速等高速公路项目加快建设。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加快黄河大道二期、鸣晖街等主干道路建设，推进尚志街，兰溪大街东延,鹊华东路、西路北延等道路开工建设，实施中新产业园区、国博城五期、绿色循环产业园二期等组团路网建设，推动城市道路闭环成网。</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13.完成“四好农村路”高质量发展年度建设任务，实施养护工程比例不低于辖区内农村公路总里程的7%。</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14.启动新型智慧城市运营指挥中心信创改造升级及应用场景项目建设，围绕项目建设、基层治理、产业发展等领域建设一批特色智慧应用场景，打造一体化指挥调度体系。</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15.新引进商业品牌首店1家。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16.围绕鹊山生态文化区文化园等重点片区，以“投建运一体化”开发模式，加快项目策划实施。</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17.坚决守牢“一排底线”。</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三、2025年经济社会发展重点任务</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深入实施扩大内需战略，推动经济发展提质增效</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1.加强项目谋划招引服务。</w:t>
      </w:r>
      <w:r>
        <w:rPr>
          <w:rFonts w:hint="eastAsia" w:ascii="仿宋_GB2312" w:hAnsi="仿宋_GB2312" w:eastAsia="仿宋_GB2312" w:cs="仿宋_GB2312"/>
          <w:color w:val="000000"/>
          <w:sz w:val="32"/>
          <w:szCs w:val="32"/>
          <w:lang w:val="en-US"/>
        </w:rPr>
        <w:t>依托国氢科技及电动汽车百人会资源、氢能应用场景，开展氢能上下游产业链延链补链；依托爱旭项目，招引扩产、配套等优质企业落地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以黄河创新院国创中心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黄河数字经济产业园</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山东未来产业园</w:t>
      </w:r>
      <w:r>
        <w:rPr>
          <w:rFonts w:hint="eastAsia" w:ascii="仿宋_GB2312" w:hAnsi="仿宋_GB2312" w:eastAsia="仿宋_GB2312" w:cs="仿宋_GB2312"/>
          <w:color w:val="000000"/>
          <w:sz w:val="32"/>
          <w:szCs w:val="32"/>
          <w:lang w:val="en-US" w:eastAsia="zh-CN"/>
        </w:rPr>
        <w:t>为载体</w:t>
      </w:r>
      <w:r>
        <w:rPr>
          <w:rFonts w:hint="eastAsia" w:ascii="仿宋_GB2312" w:hAnsi="仿宋_GB2312" w:eastAsia="仿宋_GB2312" w:cs="仿宋_GB2312"/>
          <w:color w:val="000000"/>
          <w:sz w:val="32"/>
          <w:szCs w:val="32"/>
          <w:lang w:val="en-US"/>
        </w:rPr>
        <w:t>，开展机器人产业企业招引。</w:t>
      </w:r>
      <w:r>
        <w:rPr>
          <w:rFonts w:hint="eastAsia" w:ascii="仿宋_GB2312" w:hAnsi="仿宋_GB2312" w:eastAsia="仿宋_GB2312" w:cs="仿宋_GB2312"/>
          <w:color w:val="000000"/>
          <w:sz w:val="32"/>
          <w:szCs w:val="32"/>
          <w:lang w:val="en-US" w:eastAsia="zh-CN"/>
        </w:rPr>
        <w:t>借助“车路云一体化”试点建设契机，引进低速无人机、飞行器、无人物流车、无人清扫车等优质产业项目。抢抓国家“两重”、“两新”、地方政府专项债等政策机遇，谋划一批政策性资金支持项目。用好市级“线上+线下”的项目建设推进体系，完善项目管理服务激励机制，加强项目落地用地和融资需求保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狠抓重点项目建设。推动223个续建、新开工项目建设，完成年度投资517亿元以上。加快比亚迪新能源汽车核心零部件项目等23个重点产业项目，太平水库等39个基础设施项目，安置区项目及配套幼儿园、中小学等39个民生配套项目，零碳智慧产业园基础设施项目等8个平台支撑项目建设。推动宾理科技高端新能源汽车工业园等60个重点产业项目开工建设，推动国际博览城产业园综合管廊及配套基础设施五期项目等54个基础配套项目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3.促进消费扩容提质。开展促消费活动，全年开展系列活动9场以上。加快消费商圈建设，推动起步区商业网点布局指导意见落地，培育打造黄河流域综合性地标商圈。</w:t>
      </w:r>
      <w:r>
        <w:rPr>
          <w:rFonts w:hint="eastAsia" w:ascii="仿宋_GB2312" w:hAnsi="仿宋_GB2312" w:eastAsia="仿宋_GB2312" w:cs="仿宋_GB2312"/>
          <w:color w:val="000000"/>
          <w:sz w:val="32"/>
          <w:szCs w:val="32"/>
          <w:lang w:val="en-US"/>
        </w:rPr>
        <w:t>促进新能源汽车、家居家电、电子产品等大宗消费，大力推进消费品以旧换新，组织开展新能源汽车、绿色智能家电下乡。支持更多房地产项目尽早落地开工、快速销售回款，推动更多项目应纳尽纳融资协调机制“白名单”，支持企业合理融资需求</w:t>
      </w:r>
      <w:r>
        <w:rPr>
          <w:rFonts w:hint="eastAsia" w:ascii="仿宋_GB2312" w:hAnsi="仿宋_GB2312" w:eastAsia="仿宋_GB2312" w:cs="仿宋_GB2312"/>
          <w:color w:val="000000"/>
          <w:sz w:val="32"/>
          <w:szCs w:val="32"/>
          <w:lang w:val="en-US" w:eastAsia="zh-CN"/>
        </w:rPr>
        <w:t>。开展“第五届黄河文化季”“第七届文化惠民消费季”“我的书屋我的梦”等系列活动。</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（二）因地制宜发展新质生产力，积极培育壮大产业规模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提升科技创新对产业的引领能力。充分发挥4家中科系科研院所、可信云研究院等科研机构优势资源，争取落地省级重点实验室，突破一批产业核心技术。建设全区首个城市场景创新促进中心，加快提升济南山东省大学科技园科技服务水平。全年认定高新技术企业20家以上，新增“专精特新”、瞪羚、单项冠军等优质企业不少于4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发展壮大新能源制造业。推动比亚迪新能源整车配套项目达产达效；推动爱旭项目一期全面投产，争取2025年产出6GW高效太阳能电池组件；建设大型多产融合新型机械储能项目；加快建设山东能源太阳能电池项目，延伸钙钛矿光伏电池产业链；依托国电投黄河流域氢能产业基地，布局上下游储氢等智能制造和氢气检测产业服务项目，建设氢能全产业生态。全年实施重点技术改造项目10个以上。</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3.促进服务业快速增长。建立服务业联席会议</w:t>
      </w:r>
      <w:bookmarkStart w:id="0" w:name="_GoBack"/>
      <w:bookmarkEnd w:id="0"/>
      <w:r>
        <w:rPr>
          <w:rFonts w:hint="eastAsia" w:ascii="仿宋_GB2312" w:hAnsi="仿宋_GB2312" w:eastAsia="仿宋_GB2312" w:cs="仿宋_GB2312"/>
          <w:color w:val="000000"/>
          <w:sz w:val="32"/>
          <w:szCs w:val="32"/>
          <w:lang w:val="en-US" w:eastAsia="zh-CN"/>
        </w:rPr>
        <w:t>制度，“部门抓行业+街道抓企业”，做好对中通仓储、先投产发等重点服务业企业服务保障工作。依托中科数字经济产业园等优质载体，加大拟入库企业的摸排力度和跟踪服务，争取更多有影响力、有发展前景新企业入驻。提升济南黄河国际会展中心运营水平，完善周边配套，全年举办展会活动30场次，启动5万平方米场馆建设；推动首发首秀首展在会展中心举办，带动“会展+产业”融合发展。完成黄河体育中心运营招标，提前对上争取，申办国家级、国际级高水准赛事活动，探索依托济南黄河国际会展中心、黄河大堤等现有资源，举办音乐节、马拉松等系列活动。</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培育壮大现代农业。立足百亩科创港，推动现代种业创新项目落实落地，谋划推进山东省农业大科学中心（齐鲁农谷）；建设千亩智慧农业产业园，打造现代设施农业示范基地；推进建设“万亩良种繁育孵化区”，打造成方连片的育种繁育基地。依托“太平宝”“伴春甜”“鹊华鲜鸡蛋”全国名特优新品牌，持续提档升级瓜菜产业和特色畜牧业发展水平。拓展食用菌种植、清真食品加工等产业业态，推动蓝莓综合体、鹊华烟雨文化园等休闲农业载体建设，推动农业产学研融合，延伸补全农业产业链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加快布局培育未来产业。加快建设智算中心、大数据中心等数字经济新基建，积极承接省级产业大脑、工业互联网平台。依托黄河机器人创新院，设立专项产业基金，建设机器人产业孵化基地，开展人形机器人、工业机器人技术研发、成果转化、产业引培，打造集产学研一体的黄河流域机器人发展示范园区。发挥国氢科技及中国电动汽车百人会等企业、行业协会资源，谋划布局未来能源产业园等重点项目，加快开展氢能、储能场景应用，新招引配套企业落地。加快推进山东未来产业园及相关基础配套建设，提升园区承载能力。</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（三）深入实施区域发展战略，主动融入和服务全国大局</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服务融入区域协调发展大局。积极对接京津冀、长三角、黄河流域主要城市，探索以合作共建、托管建设等模式发展“飞地经济”，全面开展产业、科技、人文、教育等领域合作。依托“中科系”落地院所及科创投公司，赴上海、深圳、西安等地开展科技招商推介活动，加速导入科技类产业项目。加强与西海岸新区、沂河新区等重大区域战略平台对接，强化区域联动，在规划布局、管理运营、产业导入等方面创新合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落实济南都市圈发展战略。加强与齐河、禹城、临邑一体化发展，深化在产业、科技创新、交通、生态保护等领域合作。推进航天大道、东深线等道路建设，畅通与海峡两岸新旧动能转换产业合作区有效衔接。落实区县结对共促发展战略，建立与济阳结对共促机制，开展协同招商、科技成果转化，共同推进比亚迪核心零部件扩产项目落地实施。积极承接导入主城区优质资源、高端产业，推进教育、医疗、文化、体育等公共服务资源共建共享，逐步实现基本公共服务均等化。统筹协调两岸生态和文旅资源，协同开展风貌管控，高标准建设黄河生态风貌带，打造相互连通和自然衔接的景观廊道。</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推进城乡融合发展。结合“南城中镇北乡”空间梯次发展格局，编制起步区农业农村发展规划，推动乡村全面振兴与新型城镇化有机结合，深度擘画“南城中镇北乡”发展蓝图。示范区加快鹊山生态文化区一期工程（博览园）建设；推进电视塔、博物馆、科技馆等标志性建筑开工建设，加快总部立体城、黄河总部基地等项目建设施工，完成泉韵水街、鹊华中和苑、齐风鲁韵坊、泉城名士坊建设任务，推进星泉汇、中新未来公园等项目，有序启动国际生物创芯谷、绿色金融大厦等项目。崔寨片区加快山科人工智能和高端装备产业园等重点项目建设，谋划黄河体育中心、会展中心产业上下游配套，实施凤凰黄河大桥西下口标志性项目，适时启动片区商业开发。孙耿片区聚焦爱旭项目服务保障，强化基础设施建设，推动生产性、生活性服务业融合发展。太平片区全力保障太平水库建设，完善济南国际招商产业园周边配套，擦亮“太平宝”等农业特色品牌，高标准建设粮食生产示范区。强化农村人居环境整治，提升农村基础设施建设水平，高标准推进“粮安太平”泉韵乡居示范片区创建。</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（四）推进降碳减污扩绿增长，推进经济社会绿色发展</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扎实推进“双碳”战略。积极稳妥推进碳达峰碳中和，实施碳达峰“十大工程”。聚焦新能源汽车、太阳能高效电池等领域，开展能耗双控逐步转向碳排放双控路径研究。调整优化能源结构，加快化石能源清洁高效利用，推动光伏、储能、氢能等新型能源发展，加快建设新型电力系统。强化工业、城乡建设、交通物流、公共机构等重点领域能效提升。加强资源综合利用，大力发展循环经济，充分发挥减少资源消耗和降碳的协同作用。推进近零碳试点示范建设，开展重点企业产品碳足迹评价，强化碳排放数据质量监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加大生态保护力度。系统推进水系治理，完成大寺河综合治理（一期）、青宁沟等在建项目和城市副中心支流河道一期二期、崔寨片区河道水系二期水利部分施工。加强与济阳沟通对接，谋划启动齐济河、牧马河、簸箕刘沟等约40公里的跨界河道治理，提升整体防洪排涝水平。启动建设黄河大桥西侧1.5公里黄河风貌带，加快推进黄河游览步道起步区段规划施工，建成3处公园、2处共建花园、7公里绿道。高标准推进新一轮“四减四增”行动，深化工业污染治理，谋划综合性固体废物处置中心项目，加快零碳智慧运营中心施工，高质量开展国家减污降碳协同创新试点。</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打好污染防治攻坚战。开展低效失效大气污染治理设施排查整治，加强挥发性有机物无组织排放管控和末端治理设施运行监管。强化重污染天气应对和区域协作，基本淘汰国三及以下排放标准非营运柴油货车。开展河湖水质超标隐患排查整治，深入落实“两个清零、一个提标”，推进雨污合流管网建设，推进太平水质净化及再生水厂工程、孙耿污水处理厂一期工程等污水处理设施建设和运营，国控断面优良水体比例达到70%，集中式饮用水水源地水质优良比例达到100%。推进污染地块风险管控和修复，保障受污染耕地、重点建设用地安全利用。推进采煤塌陷地等生态修复，完善地质灾害综合防治体系。</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（五）持续扩大改革开放，打造内融外联新格局</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推动企业服务体制机制改革。推动企业服务管理机制改革，通过内部调整、外部招聘、融合金融机构服务人员等方式强化基层企业服务人员力量。管委会部门、街道互派精干人员学习锻炼，提升街道企业服务能力水平。拿出部分奖励资金，用于街道服务企业、项目推进和完善基础配套等领域，提升基层企业服务质效。推进公平竞争审查，深化“双随机、一公开”监管，建立健全政企沟通交流机制，依托“亲清会客厅”“一中心6驿站”常态化开展惠民利企直通车活动，建立涉企文件“审查绿色通道”，完善“标准统一、代收帮办、远程办理、协同联动”工作机制，推进数据跨域共享、无缝衔接，实现“异地受理、属地审批、就近取证”的全新服务模式。</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夯实数字建设基础。优化物联平台，统筹全区物联感知设施建设，汇聚无人机场、视频监控、物联传感器等感知资源。构建统一算力模型超市，强化算法的深度应用，拓展政务领域场景应用。全年完成视频资源接入15000余路，物联资源接入200余路。强化孪生底座，统筹整合全区BIM、CIM资源，打造全区统一的孪生中台，对接物联中台，实现全量感知资源与数字孪生的融合，推动业务应用，打造“中新未来城一张图”数字孪生应用场景，对接无人机航飞资源，并完成不少于一个低空应用场景。探索低空应用专题功能。深化数据共享，依托一体化大数据平台，推动各领域数据资源“一站式”汇聚，形成区级统一数据湖，打造数据场景化模型，实现数据跨层级、跨业务有序共享。</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高起点规划建设中新济南未来产业城。把握中新建交35周年历史机遇，持续深化在战略、规划、项目、运营等方面合作，加快推动与新加坡务实创新合作。高水平、高标准推进中新济南未来产业城系列规划编制。充分发挥中新绿色科技研究院平台作用，深化对新合作，推动新加坡脑博士、易码人工智能芯片设计等项目落地起步区。组建对新合作高能级顾问团，开设新加坡出访专项，增加与新加坡互访频次。绘制新加坡企业招商图谱，建立新加坡重点合作项目库，用好QFLP基金，加速推进盛裕高科技产业园谋划与落地，新落地新加坡产业项目不少于5个。</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主动拓展国际合作空间。积极谋划出访澳大利亚、英国等国家，持续推进中加、中非、中泰等国际区域合作，力争落地中非国际贸易产业园，打造新型易货贸易模式应用示范区。扩大跨境电商产业园规模，集聚更多外贸主体，申建省级跨境电商产业园区，打造2个对外贸易特色产业带。推进科技开放合作，促进本地企业在共建“一带一路”国家建设海外科技企业孵化器和研发机构，积极开展技术联合研发，推动构建1处“类海外”环境示范点，加快韩国友城花园建设。</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（六）加强民生保障服务，守好守牢安全底线</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打造高质量就业承载地。加强与山东技师学院、济南技师学院、山东劳动职业技术学院等院校对接，搭建校企合作桥梁，实现重点企业用工订单式培养，保障比亚迪汽车和爱旭项目用工需求。积极发挥零工市场、零工公寓服务保障作用，提高零工群体保障水平。推进黄河流域（山东）大学生创新创业孵化基地建设运营，完善基地内部分区功能。扩大职业技能企业自主评价备案范围，加强辖区高级工职业技能培训。</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充分释放医疗教育资源效能。发挥山大二院北院区辐射带动作用，提升基层服务能力。推动紧密型城市医疗集团、整合型医疗中心项目建设。建立疾控机构为骨干、医疗机构为依托、基层医疗卫生机构为网底的疾控体系，全面提升疾控能力。推动4家卫生院和140所村卫生室完善医疗设备配置，提升基层卫生服务能力。落实高危产妇、适龄妇女“两癌”筛查、儿童健康、艾梅乙母婴传播预防以及精神卫生管理，探索推行医疗卫生机构提供托育服务试点。加强国医堂和中医阁建设，年内再创建1家“扁鹊国医堂”和“中医特色村卫生室”，争取山东省中医类别全科医师转岗培训在起步区设置基层实践基地。</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构建多层次社会保障体系。做好基本社会救助资金及时足额发放和提高社会救助标准工作，兜好基本民生保障底线。完成新建养老服务设施及农村幸福院验收，开展2025年度家庭养老床位及居家照护建设，推进示范型养老服务设施选树工作；推进住宅小区配套养老服务设施运营。推进婚俗和殡葬改革，开展新事新办、移风易俗宣传活动，倡树文明新风。开展“夏季送清凉”“寒冬送温暖”等专项救助行动；加强残疾人“两项补贴”发放监管；推进“精康融合行动”，提升残疾人福利水平。全面推动新时代武装工作走深走实，着力强化党管武装政治责任，深化“部站融合”建设成果，延伸军人“全生命周期服务”链条，推动基层武装工作和退役军人事务融合开展，不断提升国防动员和后备力量建设水平，完成兵员征集和民兵组整工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4.坚决守牢“一排底线”。</w:t>
      </w:r>
      <w:r>
        <w:rPr>
          <w:rFonts w:hint="eastAsia" w:ascii="仿宋_GB2312" w:hAnsi="仿宋_GB2312" w:eastAsia="仿宋_GB2312" w:cs="仿宋_GB2312"/>
          <w:color w:val="000000"/>
          <w:sz w:val="32"/>
          <w:szCs w:val="32"/>
          <w:lang w:val="en-US"/>
        </w:rPr>
        <w:t>强化耕地保护和粮食安全，严格落实耕地保护和粮食安全责任制，新建成高标准农田</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rPr>
        <w:t>万亩，完成</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val="en-US"/>
        </w:rPr>
        <w:t>下达</w:t>
      </w:r>
      <w:r>
        <w:rPr>
          <w:rFonts w:hint="eastAsia" w:ascii="仿宋_GB2312" w:hAnsi="仿宋_GB2312" w:eastAsia="仿宋_GB2312" w:cs="仿宋_GB2312"/>
          <w:color w:val="000000"/>
          <w:sz w:val="32"/>
          <w:szCs w:val="32"/>
          <w:lang w:val="en-US" w:eastAsia="zh-CN"/>
        </w:rPr>
        <w:t>的粮食生产</w:t>
      </w:r>
      <w:r>
        <w:rPr>
          <w:rFonts w:hint="eastAsia" w:ascii="仿宋_GB2312" w:hAnsi="仿宋_GB2312" w:eastAsia="仿宋_GB2312" w:cs="仿宋_GB2312"/>
          <w:color w:val="000000"/>
          <w:sz w:val="32"/>
          <w:szCs w:val="32"/>
          <w:lang w:val="en-US"/>
        </w:rPr>
        <w:t>目标任务</w:t>
      </w:r>
      <w:r>
        <w:rPr>
          <w:rFonts w:hint="eastAsia" w:ascii="仿宋_GB2312" w:hAnsi="仿宋_GB2312" w:eastAsia="仿宋_GB2312" w:cs="仿宋_GB2312"/>
          <w:color w:val="000000"/>
          <w:sz w:val="32"/>
          <w:szCs w:val="32"/>
          <w:lang w:val="en-US" w:eastAsia="zh-CN"/>
        </w:rPr>
        <w:t>；加快推动济南第三粮库迁建工作。</w:t>
      </w:r>
      <w:r>
        <w:rPr>
          <w:rFonts w:hint="eastAsia" w:ascii="仿宋_GB2312" w:hAnsi="仿宋_GB2312" w:eastAsia="仿宋_GB2312" w:cs="仿宋_GB2312"/>
          <w:color w:val="000000"/>
          <w:sz w:val="32"/>
          <w:szCs w:val="32"/>
          <w:lang w:val="en-US"/>
        </w:rPr>
        <w:t>统筹做好能源保障，</w:t>
      </w:r>
      <w:r>
        <w:rPr>
          <w:rFonts w:hint="eastAsia" w:ascii="仿宋_GB2312" w:hAnsi="仿宋_GB2312" w:eastAsia="仿宋_GB2312" w:cs="仿宋_GB2312"/>
          <w:color w:val="000000"/>
          <w:sz w:val="32"/>
          <w:szCs w:val="32"/>
          <w:lang w:val="en-US" w:eastAsia="zh-CN"/>
        </w:rPr>
        <w:t>有序推进能源管线迁改，稳定电力、燃气、石油等能源供应。强化食品药品监管，坚决守牢安全生产底线，深化专项整治，重大事故隐患排查整改全周期管理，提升本质安全。精准高效执法，推广有奖举报。加强应急管理体系建设，强化数字赋能，加快构建远程监控、线上监管和自动捕获反馈的信息化体系。提升防灾减灾救灾能力，夯实减灾救灾基础，区应急消防救援站年中投入执勤，推进设立起步区气象局。</w:t>
      </w:r>
      <w:r>
        <w:rPr>
          <w:rFonts w:hint="eastAsia" w:ascii="仿宋_GB2312" w:hAnsi="仿宋_GB2312" w:eastAsia="仿宋_GB2312" w:cs="仿宋_GB2312"/>
          <w:color w:val="000000"/>
          <w:sz w:val="32"/>
          <w:szCs w:val="32"/>
          <w:lang w:val="en-US"/>
        </w:rPr>
        <w:t>积极防范化解金融风险，建立健全金融风险监测分析、信息共享机制。扎实推进打击非法集资专项行动，积极开展防范非法集资宣传。</w:t>
      </w:r>
      <w:r>
        <w:rPr>
          <w:rFonts w:hint="eastAsia" w:ascii="仿宋_GB2312" w:hAnsi="仿宋_GB2312" w:eastAsia="仿宋_GB2312" w:cs="仿宋_GB2312"/>
          <w:color w:val="000000"/>
          <w:sz w:val="32"/>
          <w:szCs w:val="32"/>
          <w:lang w:val="en-US" w:eastAsia="zh-CN"/>
        </w:rPr>
        <w:t>加强公共法律服务体系建设；完善重大决策法制审查；推动复议应诉提质增效；坚持和发展新时代“枫桥经验”，开展综治中心规范化建设，提升社会稳定风险隐患、矛盾纠纷排查化解能力。优化矛盾多元排查化解，提升信访维稳能力。</w:t>
      </w: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textAlignment w:val="auto"/>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29CF71-10B2-4A26-B5E0-2A5BFAFAFD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5D2566-B29F-4168-BE40-4B75F9F7BEB7}"/>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3EA964E0-9821-4D9E-91F9-80E1D7C10519}"/>
  </w:font>
  <w:font w:name="方正小标宋简体">
    <w:panose1 w:val="03000509000000000000"/>
    <w:charset w:val="86"/>
    <w:family w:val="auto"/>
    <w:pitch w:val="default"/>
    <w:sig w:usb0="00000001" w:usb1="080E0000" w:usb2="00000000" w:usb3="00000000" w:csb0="00040000" w:csb1="00000000"/>
    <w:embedRegular r:id="rId4" w:fontKey="{21ACBD6F-A15D-44E8-B690-9A776F911933}"/>
  </w:font>
  <w:font w:name="楷体_GB2312">
    <w:panose1 w:val="02010609030101010101"/>
    <w:charset w:val="86"/>
    <w:family w:val="auto"/>
    <w:pitch w:val="default"/>
    <w:sig w:usb0="00000001" w:usb1="080E0000" w:usb2="00000000" w:usb3="00000000" w:csb0="00040000" w:csb1="00000000"/>
    <w:embedRegular r:id="rId5" w:fontKey="{C9CF65D7-0E14-4CF2-8681-71EE955C81F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258ac3d3-a76e-4acb-ab20-67e4ecfb1cef"/>
  </w:docVars>
  <w:rsids>
    <w:rsidRoot w:val="6F6053C9"/>
    <w:rsid w:val="03792095"/>
    <w:rsid w:val="037D77F1"/>
    <w:rsid w:val="041B2441"/>
    <w:rsid w:val="07BB30C1"/>
    <w:rsid w:val="07E11FDD"/>
    <w:rsid w:val="0AD66BAD"/>
    <w:rsid w:val="0D40009C"/>
    <w:rsid w:val="0EBE1B2A"/>
    <w:rsid w:val="11984340"/>
    <w:rsid w:val="11D854E4"/>
    <w:rsid w:val="13F23528"/>
    <w:rsid w:val="15271CA0"/>
    <w:rsid w:val="16916FBF"/>
    <w:rsid w:val="181A4A3C"/>
    <w:rsid w:val="18A84F86"/>
    <w:rsid w:val="1AAC72D9"/>
    <w:rsid w:val="1EBA3929"/>
    <w:rsid w:val="1F710E32"/>
    <w:rsid w:val="24C0032D"/>
    <w:rsid w:val="25AB1EB6"/>
    <w:rsid w:val="272462F2"/>
    <w:rsid w:val="29907743"/>
    <w:rsid w:val="2B1E722A"/>
    <w:rsid w:val="2C675170"/>
    <w:rsid w:val="2D087222"/>
    <w:rsid w:val="31C81329"/>
    <w:rsid w:val="32333292"/>
    <w:rsid w:val="347A2CEE"/>
    <w:rsid w:val="373169CB"/>
    <w:rsid w:val="3E427218"/>
    <w:rsid w:val="3F302C55"/>
    <w:rsid w:val="42C86F85"/>
    <w:rsid w:val="439B7A38"/>
    <w:rsid w:val="43C83303"/>
    <w:rsid w:val="46876387"/>
    <w:rsid w:val="46FF153C"/>
    <w:rsid w:val="47B5009C"/>
    <w:rsid w:val="4883687E"/>
    <w:rsid w:val="4A435BE4"/>
    <w:rsid w:val="4CBD11A3"/>
    <w:rsid w:val="4E5F6898"/>
    <w:rsid w:val="4F5B20FC"/>
    <w:rsid w:val="50491953"/>
    <w:rsid w:val="507319AB"/>
    <w:rsid w:val="50903612"/>
    <w:rsid w:val="515C63EF"/>
    <w:rsid w:val="54967355"/>
    <w:rsid w:val="565E018E"/>
    <w:rsid w:val="56B22D46"/>
    <w:rsid w:val="588C3D6A"/>
    <w:rsid w:val="5C0E7968"/>
    <w:rsid w:val="5C516232"/>
    <w:rsid w:val="5CAD4C99"/>
    <w:rsid w:val="5CF95B56"/>
    <w:rsid w:val="5D3D64C3"/>
    <w:rsid w:val="603A27F7"/>
    <w:rsid w:val="61D32D57"/>
    <w:rsid w:val="644D4B19"/>
    <w:rsid w:val="67323F9D"/>
    <w:rsid w:val="688A7E03"/>
    <w:rsid w:val="6A885FCB"/>
    <w:rsid w:val="6D562076"/>
    <w:rsid w:val="6E773235"/>
    <w:rsid w:val="6ED84B71"/>
    <w:rsid w:val="6F6053C9"/>
    <w:rsid w:val="6FDD60A6"/>
    <w:rsid w:val="742D4703"/>
    <w:rsid w:val="790E555A"/>
    <w:rsid w:val="79FB5918"/>
    <w:rsid w:val="7A434032"/>
    <w:rsid w:val="7A724AB9"/>
    <w:rsid w:val="7B563421"/>
    <w:rsid w:val="7B9510C4"/>
    <w:rsid w:val="7F240E58"/>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3">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12146</Words>
  <Characters>12615</Characters>
  <Lines>0</Lines>
  <Paragraphs>0</Paragraphs>
  <TotalTime>22</TotalTime>
  <ScaleCrop>false</ScaleCrop>
  <LinksUpToDate>false</LinksUpToDate>
  <CharactersWithSpaces>12624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韩梦寒梦</cp:lastModifiedBy>
  <cp:lastPrinted>2025-03-07T02:44:00Z</cp:lastPrinted>
  <dcterms:modified xsi:type="dcterms:W3CDTF">2025-04-10T07:13:02Z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1390DF0064864C04A50ADF3640B86C7B_13</vt:lpwstr>
  </property>
  <property fmtid="{D5CDD505-2E9C-101B-9397-08002B2CF9AE}" pid="4" name="KSOTemplateDocerSaveRecord">
    <vt:lpwstr>eyJoZGlkIjoiOTk0ZGVmMDg1Y2QyYjhkZGM5NGZlNjUzZWZiMjNlYTciLCJ1c2VySWQiOiIyMjk5MTM4OTgifQ==</vt:lpwstr>
  </property>
</Properties>
</file>