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4C27">
      <w:pPr>
        <w:keepNext w:val="0"/>
        <w:keepLines w:val="0"/>
        <w:pageBreakBefore w:val="0"/>
        <w:widowControl w:val="0"/>
        <w:kinsoku/>
        <w:wordWrap/>
        <w:overflowPunct/>
        <w:topLinePunct w:val="0"/>
        <w:autoSpaceDE/>
        <w:autoSpaceDN/>
        <w:bidi w:val="0"/>
        <w:adjustRightInd/>
        <w:snapToGrid/>
        <w:spacing w:line="1701" w:lineRule="exact"/>
        <w:jc w:val="center"/>
        <w:textAlignment w:val="auto"/>
        <w:rPr>
          <w:rFonts w:ascii="方正小标宋简体" w:hAnsi="宋体" w:eastAsia="方正小标宋简体"/>
          <w:color w:val="FF0000"/>
          <w:spacing w:val="-11"/>
          <w:w w:val="36"/>
          <w:sz w:val="140"/>
          <w:szCs w:val="140"/>
        </w:rPr>
      </w:pPr>
    </w:p>
    <w:p w14:paraId="130558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14:paraId="7F3035A8">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号</w:t>
      </w:r>
    </w:p>
    <w:p w14:paraId="53989F20">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14:paraId="68E924EA">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576CAB3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56A0B05A">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济南新旧动能转换起步区管理委员会</w:t>
      </w:r>
    </w:p>
    <w:p w14:paraId="1F00849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关于印发《济南新旧动能转换起步区噪声敏感建筑物集中区域划分方案</w:t>
      </w:r>
      <w:r>
        <w:rPr>
          <w:rFonts w:hint="eastAsia" w:ascii="方正小标宋简体" w:hAnsi="方正小标宋简体" w:eastAsia="方正小标宋简体" w:cs="方正小标宋简体"/>
          <w:spacing w:val="6"/>
          <w:sz w:val="44"/>
          <w:szCs w:val="44"/>
          <w:lang w:eastAsia="zh-CN"/>
        </w:rPr>
        <w:t>（试行）</w:t>
      </w:r>
      <w:r>
        <w:rPr>
          <w:rFonts w:hint="eastAsia" w:ascii="方正小标宋简体" w:hAnsi="方正小标宋简体" w:eastAsia="方正小标宋简体" w:cs="方正小标宋简体"/>
          <w:spacing w:val="6"/>
          <w:sz w:val="44"/>
          <w:szCs w:val="44"/>
        </w:rPr>
        <w:t>》的通知</w:t>
      </w:r>
    </w:p>
    <w:p w14:paraId="27FBCAD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6"/>
          <w:sz w:val="44"/>
          <w:szCs w:val="44"/>
          <w:lang w:val="en-US" w:eastAsia="zh-CN"/>
        </w:rPr>
      </w:pPr>
    </w:p>
    <w:p w14:paraId="52BA7E2B">
      <w:pPr>
        <w:keepNext w:val="0"/>
        <w:keepLines w:val="0"/>
        <w:pageBreakBefore w:val="0"/>
        <w:widowControl w:val="0"/>
        <w:kinsoku/>
        <w:wordWrap/>
        <w:overflowPunct/>
        <w:topLinePunct w:val="0"/>
        <w:autoSpaceDE/>
        <w:autoSpaceDN/>
        <w:bidi w:val="0"/>
        <w:adjustRightInd/>
        <w:snapToGrid/>
        <w:spacing w:line="579"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直属单位</w:t>
      </w:r>
      <w:r>
        <w:rPr>
          <w:rFonts w:hint="eastAsia" w:ascii="楷体_GB2312" w:hAnsi="楷体_GB2312" w:eastAsia="楷体_GB2312" w:cs="楷体_GB2312"/>
          <w:sz w:val="32"/>
          <w:szCs w:val="32"/>
        </w:rPr>
        <w:t>，驻区</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单位：</w:t>
      </w:r>
    </w:p>
    <w:p w14:paraId="34A035D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《济南新旧动能转换起步区噪声敏感建筑物集中区域划分方案</w:t>
      </w:r>
      <w:r>
        <w:rPr>
          <w:rFonts w:hint="eastAsia" w:ascii="楷体_GB2312" w:hAnsi="楷体_GB2312" w:eastAsia="楷体_GB2312" w:cs="楷体_GB2312"/>
          <w:sz w:val="32"/>
          <w:szCs w:val="32"/>
          <w:lang w:eastAsia="zh-CN"/>
        </w:rPr>
        <w:t>（试行）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已经管委会领导同志同意</w:t>
      </w:r>
      <w:r>
        <w:rPr>
          <w:rFonts w:hint="eastAsia" w:ascii="楷体_GB2312" w:hAnsi="楷体_GB2312" w:eastAsia="楷体_GB2312" w:cs="楷体_GB2312"/>
          <w:sz w:val="32"/>
          <w:szCs w:val="32"/>
        </w:rPr>
        <w:t>，现印发给你们，请认真贯彻执行。</w:t>
      </w:r>
    </w:p>
    <w:p w14:paraId="69F184EF">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szCs w:val="32"/>
          <w:lang w:val="en-US" w:eastAsia="zh-CN"/>
        </w:rPr>
      </w:pPr>
    </w:p>
    <w:p w14:paraId="3ECAE70D">
      <w:pPr>
        <w:keepNext w:val="0"/>
        <w:keepLines w:val="0"/>
        <w:pageBreakBefore w:val="0"/>
        <w:widowControl w:val="0"/>
        <w:kinsoku/>
        <w:wordWrap/>
        <w:overflowPunct/>
        <w:topLinePunct w:val="0"/>
        <w:autoSpaceDE/>
        <w:autoSpaceDN/>
        <w:bidi w:val="0"/>
        <w:adjustRightInd w:val="0"/>
        <w:snapToGrid w:val="0"/>
        <w:spacing w:line="579"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14:paraId="31D9F886">
      <w:pPr>
        <w:keepNext w:val="0"/>
        <w:keepLines w:val="0"/>
        <w:pageBreakBefore w:val="0"/>
        <w:widowControl w:val="0"/>
        <w:kinsoku/>
        <w:wordWrap w:val="0"/>
        <w:overflowPunct/>
        <w:topLinePunct w:val="0"/>
        <w:autoSpaceDE/>
        <w:autoSpaceDN/>
        <w:bidi w:val="0"/>
        <w:adjustRightInd w:val="0"/>
        <w:snapToGrid w:val="0"/>
        <w:spacing w:line="579"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12</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25</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14:paraId="0C5F7190">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szCs w:val="32"/>
          <w:lang w:val="en-US" w:eastAsia="zh-CN"/>
        </w:rPr>
      </w:pPr>
    </w:p>
    <w:p w14:paraId="11155CF4">
      <w:pPr>
        <w:keepNext w:val="0"/>
        <w:keepLines w:val="0"/>
        <w:pageBreakBefore w:val="0"/>
        <w:widowControl w:val="0"/>
        <w:kinsoku/>
        <w:wordWrap/>
        <w:overflowPunct/>
        <w:topLinePunct w:val="0"/>
        <w:autoSpaceDE/>
        <w:autoSpaceDN/>
        <w:bidi w:val="0"/>
        <w:adjustRightInd/>
        <w:snapToGrid/>
        <w:spacing w:line="539"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（联系电话：区生态环境分局</w:t>
      </w:r>
      <w:r>
        <w:rPr>
          <w:rFonts w:hint="eastAsia" w:ascii="楷体_GB2312" w:hAnsi="楷体_GB2312" w:eastAsia="楷体_GB2312" w:cs="楷体_GB2312"/>
          <w:spacing w:val="6"/>
          <w:sz w:val="32"/>
          <w:szCs w:val="32"/>
          <w:highlight w:val="none"/>
          <w:lang w:val="en-US" w:eastAsia="zh-CN"/>
        </w:rPr>
        <w:t>，66604358</w:t>
      </w:r>
      <w:r>
        <w:rPr>
          <w:rFonts w:hint="eastAsia" w:ascii="楷体_GB2312" w:hAnsi="楷体_GB2312" w:eastAsia="楷体_GB2312" w:cs="楷体_GB2312"/>
          <w:spacing w:val="6"/>
          <w:sz w:val="32"/>
          <w:szCs w:val="32"/>
          <w:lang w:val="en-US" w:eastAsia="zh-CN"/>
        </w:rPr>
        <w:t>）</w:t>
      </w:r>
    </w:p>
    <w:p w14:paraId="5FCBE851">
      <w:pPr>
        <w:keepNext w:val="0"/>
        <w:keepLines w:val="0"/>
        <w:pageBreakBefore w:val="0"/>
        <w:widowControl w:val="0"/>
        <w:kinsoku/>
        <w:wordWrap/>
        <w:overflowPunct/>
        <w:topLinePunct w:val="0"/>
        <w:autoSpaceDE/>
        <w:autoSpaceDN/>
        <w:bidi w:val="0"/>
        <w:adjustRightInd/>
        <w:snapToGrid/>
        <w:spacing w:line="539" w:lineRule="exact"/>
        <w:ind w:firstLine="664" w:firstLineChars="200"/>
        <w:textAlignment w:val="auto"/>
        <w:rPr>
          <w:rFonts w:hint="eastAsia" w:ascii="Times New Roman" w:hAnsi="Times New Roman" w:eastAsia="方正小标宋简体" w:cs="Times New Roman"/>
          <w:spacing w:val="6"/>
          <w:sz w:val="44"/>
          <w:szCs w:val="44"/>
        </w:rPr>
      </w:pPr>
      <w:r>
        <w:rPr>
          <w:rFonts w:hint="eastAsia" w:ascii="楷体_GB2312" w:hAnsi="楷体_GB2312" w:eastAsia="楷体_GB2312" w:cs="楷体_GB2312"/>
          <w:spacing w:val="6"/>
          <w:sz w:val="32"/>
          <w:szCs w:val="32"/>
          <w:lang w:val="en-US" w:eastAsia="zh-CN"/>
        </w:rPr>
        <w:t>（此件公开发布）</w:t>
      </w:r>
    </w:p>
    <w:p w14:paraId="3D7AF5A5">
      <w:pPr>
        <w:rPr>
          <w:rFonts w:hint="eastAsia"/>
        </w:rPr>
      </w:pPr>
      <w:r>
        <w:rPr>
          <w:rFonts w:hint="eastAsia" w:ascii="Times New Roman" w:hAnsi="Times New Roman" w:eastAsia="方正小标宋简体" w:cs="Times New Roman"/>
          <w:spacing w:val="6"/>
          <w:sz w:val="44"/>
          <w:szCs w:val="44"/>
        </w:rPr>
        <w:br w:type="page"/>
      </w:r>
    </w:p>
    <w:p w14:paraId="6ED00721">
      <w:pPr>
        <w:pStyle w:val="4"/>
        <w:keepNext w:val="0"/>
        <w:keepLines w:val="0"/>
        <w:pageBreakBefore w:val="0"/>
        <w:widowControl w:val="0"/>
        <w:kinsoku/>
        <w:wordWrap/>
        <w:overflowPunct/>
        <w:topLinePunct w:val="0"/>
        <w:autoSpaceDE/>
        <w:autoSpaceDN/>
        <w:bidi w:val="0"/>
        <w:adjustRightInd/>
        <w:snapToGrid/>
        <w:spacing w:line="579" w:lineRule="exact"/>
        <w:ind w:left="0" w:firstLine="0"/>
        <w:jc w:val="center"/>
        <w:textAlignment w:val="auto"/>
        <w:outlineLvl w:val="0"/>
        <w:rPr>
          <w:rFonts w:hint="eastAsia" w:ascii="方正小标宋简体" w:eastAsia="方正小标宋简体" w:cs="Times New Roman"/>
          <w:kern w:val="2"/>
          <w:sz w:val="44"/>
          <w:szCs w:val="44"/>
          <w:highlight w:val="none"/>
          <w:lang w:val="en-US" w:eastAsia="zh-CN" w:bidi="ar-SA"/>
        </w:rPr>
      </w:pPr>
      <w:r>
        <w:rPr>
          <w:rFonts w:hint="eastAsia" w:ascii="方正小标宋简体" w:eastAsia="方正小标宋简体" w:cs="Times New Roman"/>
          <w:kern w:val="2"/>
          <w:sz w:val="44"/>
          <w:szCs w:val="44"/>
          <w:highlight w:val="none"/>
          <w:lang w:val="en-US" w:eastAsia="zh-CN" w:bidi="ar-SA"/>
        </w:rPr>
        <w:t>济南新旧动能转换起步区</w:t>
      </w:r>
      <w:r>
        <w:rPr>
          <w:rFonts w:hint="eastAsia" w:ascii="方正小标宋简体" w:hAnsi="等线" w:eastAsia="方正小标宋简体" w:cs="Times New Roman"/>
          <w:kern w:val="2"/>
          <w:sz w:val="44"/>
          <w:szCs w:val="44"/>
          <w:highlight w:val="none"/>
          <w:lang w:val="en-US" w:eastAsia="zh-CN" w:bidi="ar-SA"/>
        </w:rPr>
        <w:t>噪声敏感建筑物集中区域</w:t>
      </w:r>
      <w:r>
        <w:rPr>
          <w:rFonts w:hint="eastAsia" w:ascii="方正小标宋简体" w:eastAsia="方正小标宋简体" w:cs="Times New Roman"/>
          <w:kern w:val="2"/>
          <w:sz w:val="44"/>
          <w:szCs w:val="44"/>
          <w:highlight w:val="none"/>
          <w:lang w:val="en-US" w:eastAsia="zh-CN" w:bidi="ar-SA"/>
        </w:rPr>
        <w:t>划分方案</w:t>
      </w:r>
    </w:p>
    <w:p w14:paraId="3E9158BC">
      <w:pPr>
        <w:pStyle w:val="4"/>
        <w:keepNext w:val="0"/>
        <w:keepLines w:val="0"/>
        <w:pageBreakBefore w:val="0"/>
        <w:widowControl w:val="0"/>
        <w:kinsoku/>
        <w:wordWrap/>
        <w:overflowPunct/>
        <w:topLinePunct w:val="0"/>
        <w:autoSpaceDE/>
        <w:autoSpaceDN/>
        <w:bidi w:val="0"/>
        <w:adjustRightInd/>
        <w:snapToGrid/>
        <w:spacing w:line="579" w:lineRule="exact"/>
        <w:ind w:left="0" w:firstLine="0"/>
        <w:jc w:val="center"/>
        <w:textAlignment w:val="auto"/>
        <w:outlineLvl w:val="0"/>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（试行）</w:t>
      </w:r>
    </w:p>
    <w:p w14:paraId="5985E372">
      <w:pPr>
        <w:pStyle w:val="4"/>
        <w:keepNext w:val="0"/>
        <w:keepLines w:val="0"/>
        <w:pageBreakBefore w:val="0"/>
        <w:widowControl w:val="0"/>
        <w:kinsoku/>
        <w:wordWrap/>
        <w:overflowPunct/>
        <w:topLinePunct w:val="0"/>
        <w:autoSpaceDE/>
        <w:autoSpaceDN/>
        <w:bidi w:val="0"/>
        <w:adjustRightInd/>
        <w:snapToGrid/>
        <w:spacing w:line="579" w:lineRule="exact"/>
        <w:ind w:left="0" w:firstLine="0"/>
        <w:jc w:val="center"/>
        <w:textAlignment w:val="auto"/>
        <w:outlineLvl w:val="0"/>
        <w:rPr>
          <w:rFonts w:hint="eastAsia" w:ascii="仿宋_GB2312" w:hAnsi="仿宋_GB2312" w:eastAsia="仿宋_GB2312" w:cs="仿宋_GB2312"/>
          <w:kern w:val="2"/>
          <w:sz w:val="32"/>
          <w:szCs w:val="32"/>
          <w:highlight w:val="none"/>
          <w:lang w:val="en-US" w:eastAsia="zh-CN" w:bidi="ar-SA"/>
        </w:rPr>
      </w:pPr>
    </w:p>
    <w:p w14:paraId="377C065A">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一、划分依据</w:t>
      </w:r>
    </w:p>
    <w:p w14:paraId="34E1E778">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rPr>
      </w:pPr>
      <w:r>
        <w:rPr>
          <w:rFonts w:hint="eastAsia" w:ascii="楷体_GB2312" w:hAnsi="Times New Roman" w:eastAsia="楷体_GB2312"/>
          <w:sz w:val="32"/>
          <w:szCs w:val="32"/>
          <w:highlight w:val="none"/>
        </w:rPr>
        <w:t>（一）法律法规及规章</w:t>
      </w:r>
    </w:p>
    <w:p w14:paraId="06B41DE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《中华人民共和国环境保护法》 </w:t>
      </w:r>
    </w:p>
    <w:p w14:paraId="0B8E076D">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《中华人民共和国噪声污染防治法》</w:t>
      </w:r>
    </w:p>
    <w:p w14:paraId="0AB0DA60">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山东省环境噪声污染防治条例</w:t>
      </w:r>
      <w:r>
        <w:rPr>
          <w:rFonts w:hint="eastAsia" w:ascii="仿宋_GB2312" w:hAnsi="仿宋_GB2312" w:eastAsia="仿宋_GB2312" w:cs="仿宋_GB2312"/>
          <w:sz w:val="32"/>
          <w:szCs w:val="32"/>
          <w:highlight w:val="none"/>
        </w:rPr>
        <w:t>》</w:t>
      </w:r>
    </w:p>
    <w:p w14:paraId="04DF6807">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rPr>
      </w:pPr>
      <w:r>
        <w:rPr>
          <w:rFonts w:hint="eastAsia" w:ascii="楷体_GB2312" w:hAnsi="Times New Roman" w:eastAsia="楷体_GB2312"/>
          <w:sz w:val="32"/>
          <w:szCs w:val="32"/>
          <w:highlight w:val="none"/>
        </w:rPr>
        <w:t>（二）相关标准及政策性文件</w:t>
      </w:r>
    </w:p>
    <w:p w14:paraId="1208BAA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《声环境质量标准》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GB3096—2008) </w:t>
      </w:r>
    </w:p>
    <w:p w14:paraId="182E60A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《声环境功能区划分技术规范》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GB/T15190—2014)</w:t>
      </w:r>
    </w:p>
    <w:p w14:paraId="143EA1C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《城市用地分类与规划建设用地标准》（GB 50137-2011）</w:t>
      </w:r>
    </w:p>
    <w:p w14:paraId="18C3F9C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bookmarkStart w:id="0" w:name="_Hlk120090481"/>
      <w:r>
        <w:rPr>
          <w:rFonts w:hint="eastAsia" w:ascii="仿宋_GB2312" w:hAnsi="仿宋_GB2312" w:eastAsia="仿宋_GB2312" w:cs="仿宋_GB2312"/>
          <w:sz w:val="32"/>
          <w:szCs w:val="32"/>
          <w:highlight w:val="none"/>
        </w:rPr>
        <w:t>《土地利用现状分类》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GB/T 21010-2017)</w:t>
      </w:r>
    </w:p>
    <w:bookmarkEnd w:id="0"/>
    <w:p w14:paraId="373BB1E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w:t>
      </w:r>
      <w:r>
        <w:rPr>
          <w:rFonts w:ascii="仿宋_GB2312" w:hAnsi="仿宋_GB2312" w:eastAsia="仿宋_GB2312" w:cs="仿宋_GB2312"/>
          <w:spacing w:val="-6"/>
          <w:sz w:val="32"/>
          <w:szCs w:val="32"/>
          <w:highlight w:val="none"/>
        </w:rPr>
        <w:t>“十四五”噪声污染防治行动计划》（环大气〔2023〕1号）</w:t>
      </w:r>
    </w:p>
    <w:p w14:paraId="67507ED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《山东省“十四五”噪声污染防治行动计划》（鲁环发〔2023〕18号）</w:t>
      </w:r>
    </w:p>
    <w:p w14:paraId="03BEDE2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《济南市噪声污染防治实施方案（2024－2025年）》（济环发〔2024〕1号）</w:t>
      </w:r>
    </w:p>
    <w:p w14:paraId="65AED5CC">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《济南市声环境功能区划方案》（济政办字</w:t>
      </w:r>
      <w:r>
        <w:rPr>
          <w:rFonts w:ascii="仿宋_GB2312" w:hAnsi="仿宋_GB2312" w:eastAsia="仿宋_GB2312" w:cs="仿宋_GB2312"/>
          <w:sz w:val="32"/>
          <w:szCs w:val="32"/>
          <w:highlight w:val="none"/>
        </w:rPr>
        <w:t>〔2023〕</w:t>
      </w:r>
      <w:r>
        <w:rPr>
          <w:rFonts w:hint="eastAsia" w:ascii="仿宋_GB2312" w:hAnsi="仿宋_GB2312" w:eastAsia="仿宋_GB2312" w:cs="仿宋_GB2312"/>
          <w:sz w:val="32"/>
          <w:szCs w:val="32"/>
          <w:highlight w:val="none"/>
        </w:rPr>
        <w:t>41号）</w:t>
      </w:r>
    </w:p>
    <w:p w14:paraId="5E1DF0C7">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《山东省生态环境厅关于推动开展噪声敏感建筑物集中区域划定和管理试点工作的通知》（鲁环便函</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865号）</w:t>
      </w:r>
    </w:p>
    <w:p w14:paraId="72E7797E">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二、术语和定义</w:t>
      </w:r>
    </w:p>
    <w:p w14:paraId="114E0F52">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楷体_GB2312" w:hAnsi="Times New Roman" w:eastAsia="楷体_GB2312"/>
          <w:sz w:val="32"/>
          <w:szCs w:val="32"/>
          <w:highlight w:val="none"/>
        </w:rPr>
        <w:t>（一）噪声敏感建筑物</w:t>
      </w:r>
      <w:r>
        <w:rPr>
          <w:rFonts w:hint="eastAsia" w:ascii="仿宋_GB2312" w:hAnsi="仿宋_GB2312" w:eastAsia="仿宋_GB2312" w:cs="仿宋_GB2312"/>
          <w:sz w:val="32"/>
          <w:szCs w:val="32"/>
          <w:highlight w:val="none"/>
        </w:rPr>
        <w:t xml:space="preserve"> </w:t>
      </w:r>
    </w:p>
    <w:p w14:paraId="6A3F407E">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噪声敏感建筑物是指用于居住、科学研究、医疗卫生、文化教育、机关团体办公、社会福利等需要保持安静的建筑物。 </w:t>
      </w:r>
    </w:p>
    <w:p w14:paraId="5B6FB575">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rPr>
      </w:pPr>
      <w:r>
        <w:rPr>
          <w:rFonts w:hint="eastAsia" w:ascii="楷体_GB2312" w:hAnsi="Times New Roman" w:eastAsia="楷体_GB2312"/>
          <w:sz w:val="32"/>
          <w:szCs w:val="32"/>
          <w:highlight w:val="none"/>
        </w:rPr>
        <w:t>（二）噪声敏感建筑物集中区域</w:t>
      </w:r>
    </w:p>
    <w:p w14:paraId="0B901E9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用于居住、科学研究、医疗卫生、文化教育、机关团体办公、社会福利</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建筑物为主的区域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划定为噪声敏感建筑物集中区域。</w:t>
      </w:r>
    </w:p>
    <w:p w14:paraId="6DF852F9">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三、划分过程</w:t>
      </w:r>
    </w:p>
    <w:p w14:paraId="41E4D2B4">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rPr>
      </w:pPr>
      <w:r>
        <w:rPr>
          <w:rFonts w:hint="eastAsia" w:ascii="楷体_GB2312" w:hAnsi="Times New Roman" w:eastAsia="楷体_GB2312"/>
          <w:sz w:val="32"/>
          <w:szCs w:val="32"/>
          <w:highlight w:val="none"/>
        </w:rPr>
        <w:t>（一）划分原则</w:t>
      </w:r>
    </w:p>
    <w:p w14:paraId="75FE84D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sz w:val="32"/>
          <w:szCs w:val="32"/>
          <w:highlight w:val="none"/>
        </w:rPr>
        <w:t>噪声敏感建筑物集中区域划定与声环境功能区进行有效衔接，划分范围为1类和2类声环境功能区</w:t>
      </w:r>
      <w:r>
        <w:rPr>
          <w:rFonts w:hint="eastAsia" w:ascii="仿宋_GB2312" w:hAnsi="仿宋_GB2312" w:eastAsia="仿宋_GB2312" w:cs="仿宋_GB2312"/>
          <w:sz w:val="32"/>
          <w:szCs w:val="32"/>
          <w:highlight w:val="none"/>
          <w:lang w:eastAsia="zh-CN"/>
        </w:rPr>
        <w:t>（含相邻交通干线两侧执行</w:t>
      </w:r>
      <w:r>
        <w:rPr>
          <w:rFonts w:hint="eastAsia" w:ascii="仿宋_GB2312" w:hAnsi="仿宋_GB2312" w:eastAsia="仿宋_GB2312" w:cs="仿宋_GB2312"/>
          <w:sz w:val="32"/>
          <w:szCs w:val="32"/>
          <w:highlight w:val="none"/>
          <w:lang w:val="en-US" w:eastAsia="zh-CN"/>
        </w:rPr>
        <w:t>4a、4b声环境质量标准的区域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44F9FA8A">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sz w:val="32"/>
          <w:szCs w:val="32"/>
          <w:highlight w:val="none"/>
        </w:rPr>
        <w:t>以城市建设现状为基础进行划分，</w:t>
      </w:r>
      <w:r>
        <w:rPr>
          <w:rFonts w:hint="eastAsia" w:ascii="仿宋_GB2312" w:hAnsi="仿宋_GB2312" w:eastAsia="仿宋_GB2312" w:cs="仿宋_GB2312"/>
          <w:sz w:val="32"/>
          <w:szCs w:val="32"/>
          <w:highlight w:val="none"/>
          <w:lang w:val="en-US" w:eastAsia="zh-CN"/>
        </w:rPr>
        <w:t>同时结合建筑物的使用功能，</w:t>
      </w:r>
      <w:r>
        <w:rPr>
          <w:rFonts w:hint="eastAsia" w:ascii="仿宋_GB2312" w:hAnsi="仿宋_GB2312" w:eastAsia="仿宋_GB2312" w:cs="仿宋_GB2312"/>
          <w:sz w:val="32"/>
          <w:szCs w:val="32"/>
          <w:highlight w:val="none"/>
        </w:rPr>
        <w:t>辅助结合规划。</w:t>
      </w:r>
    </w:p>
    <w:p w14:paraId="1995D0CD">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color w:val="000000"/>
          <w:sz w:val="32"/>
          <w:szCs w:val="32"/>
          <w:highlight w:val="none"/>
        </w:rPr>
        <w:t>噪声敏感建筑物集中区域划分应</w:t>
      </w:r>
      <w:r>
        <w:rPr>
          <w:rFonts w:hint="eastAsia" w:ascii="仿宋_GB2312" w:hAnsi="仿宋_GB2312" w:eastAsia="仿宋_GB2312" w:cs="仿宋_GB2312"/>
          <w:sz w:val="32"/>
          <w:szCs w:val="32"/>
          <w:highlight w:val="none"/>
        </w:rPr>
        <w:t>便于促进噪声管理，</w:t>
      </w:r>
      <w:r>
        <w:rPr>
          <w:rFonts w:hint="eastAsia" w:ascii="仿宋_GB2312" w:hAnsi="仿宋_GB2312" w:eastAsia="仿宋_GB2312" w:cs="仿宋_GB2312"/>
          <w:color w:val="000000"/>
          <w:sz w:val="32"/>
          <w:szCs w:val="32"/>
          <w:highlight w:val="none"/>
        </w:rPr>
        <w:t>综合考虑噪声敏感建筑物占地面积、噪声污染影响范围和程度等因素。</w:t>
      </w:r>
    </w:p>
    <w:p w14:paraId="5AFFD0CD">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default" w:ascii="楷体_GB2312" w:hAnsi="Times New Roman" w:eastAsia="楷体_GB2312"/>
          <w:sz w:val="32"/>
          <w:szCs w:val="32"/>
          <w:highlight w:val="none"/>
          <w:lang w:val="en-US" w:eastAsia="zh-CN"/>
        </w:rPr>
      </w:pPr>
      <w:r>
        <w:rPr>
          <w:rFonts w:hint="eastAsia" w:ascii="楷体_GB2312" w:hAnsi="Times New Roman" w:eastAsia="楷体_GB2312"/>
          <w:sz w:val="32"/>
          <w:szCs w:val="32"/>
          <w:highlight w:val="none"/>
        </w:rPr>
        <w:t>（二）划分方法</w:t>
      </w:r>
    </w:p>
    <w:p w14:paraId="735E32D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sz w:val="32"/>
          <w:szCs w:val="32"/>
          <w:highlight w:val="none"/>
        </w:rPr>
        <w:t>以声环境功能区划分结果为基础，结合高分辨率的遥感影像图进行划分。</w:t>
      </w:r>
    </w:p>
    <w:p w14:paraId="6B9E37B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color w:val="000000"/>
          <w:sz w:val="32"/>
          <w:szCs w:val="32"/>
          <w:highlight w:val="none"/>
        </w:rPr>
        <w:t>对于1类、2类声环境功能区区域范围内用地，剔除商业金融、集市贸易、工业生产、仓储物流、公用设施、交通设施等用地，一定规模的湖库、公园、绿地、空地等</w:t>
      </w:r>
      <w:r>
        <w:rPr>
          <w:rFonts w:hint="eastAsia" w:ascii="仿宋_GB2312" w:hAnsi="仿宋_GB2312" w:eastAsia="仿宋_GB2312" w:cs="仿宋_GB2312"/>
          <w:sz w:val="32"/>
          <w:szCs w:val="32"/>
          <w:highlight w:val="none"/>
        </w:rPr>
        <w:t>非敏感建筑物，</w:t>
      </w:r>
      <w:r>
        <w:rPr>
          <w:rFonts w:hint="eastAsia" w:ascii="仿宋_GB2312" w:hAnsi="仿宋_GB2312" w:eastAsia="仿宋_GB2312" w:cs="仿宋_GB2312"/>
          <w:color w:val="000000"/>
          <w:sz w:val="32"/>
          <w:szCs w:val="32"/>
          <w:highlight w:val="none"/>
        </w:rPr>
        <w:t>其余区域划定为噪声敏感建筑物集中区域。</w:t>
      </w:r>
    </w:p>
    <w:p w14:paraId="1339355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sz w:val="32"/>
          <w:szCs w:val="32"/>
          <w:highlight w:val="none"/>
        </w:rPr>
        <w:t>临街的</w:t>
      </w:r>
      <w:r>
        <w:rPr>
          <w:rFonts w:hint="eastAsia" w:ascii="仿宋_GB2312" w:hAnsi="仿宋_GB2312" w:eastAsia="仿宋_GB2312" w:cs="仿宋_GB2312"/>
          <w:sz w:val="32"/>
          <w:szCs w:val="32"/>
          <w:highlight w:val="none"/>
          <w:lang w:eastAsia="zh-CN"/>
        </w:rPr>
        <w:t>独立商业</w:t>
      </w:r>
      <w:r>
        <w:rPr>
          <w:rFonts w:hint="eastAsia" w:ascii="仿宋_GB2312" w:hAnsi="仿宋_GB2312" w:eastAsia="仿宋_GB2312" w:cs="仿宋_GB2312"/>
          <w:sz w:val="32"/>
          <w:szCs w:val="32"/>
          <w:highlight w:val="none"/>
        </w:rPr>
        <w:t>应剔尽剔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商住一体的</w:t>
      </w:r>
      <w:r>
        <w:rPr>
          <w:rFonts w:hint="eastAsia" w:ascii="仿宋_GB2312" w:hAnsi="仿宋_GB2312" w:eastAsia="仿宋_GB2312" w:cs="仿宋_GB2312"/>
          <w:sz w:val="32"/>
          <w:szCs w:val="32"/>
          <w:highlight w:val="none"/>
          <w:lang w:eastAsia="zh-CN"/>
        </w:rPr>
        <w:t>沿街底商</w:t>
      </w:r>
      <w:r>
        <w:rPr>
          <w:rFonts w:hint="eastAsia" w:ascii="仿宋_GB2312" w:hAnsi="仿宋_GB2312" w:eastAsia="仿宋_GB2312" w:cs="仿宋_GB2312"/>
          <w:sz w:val="32"/>
          <w:szCs w:val="32"/>
          <w:highlight w:val="none"/>
        </w:rPr>
        <w:t>除外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2720DBC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sz w:val="32"/>
          <w:szCs w:val="32"/>
          <w:highlight w:val="none"/>
        </w:rPr>
        <w:t>将非交通干线分隔的</w:t>
      </w:r>
      <w:r>
        <w:rPr>
          <w:rFonts w:hint="eastAsia" w:ascii="仿宋_GB2312" w:hAnsi="仿宋_GB2312" w:eastAsia="仿宋_GB2312" w:cs="仿宋_GB2312"/>
          <w:color w:val="000000"/>
          <w:sz w:val="32"/>
          <w:szCs w:val="32"/>
          <w:highlight w:val="none"/>
        </w:rPr>
        <w:t>多个相邻区域合并为一个连片噪声敏感建筑物集中区域。其中，非交通干线可作为集中区域内部道路纳入面积统计。</w:t>
      </w:r>
    </w:p>
    <w:p w14:paraId="54515CD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5</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color w:val="000000"/>
          <w:sz w:val="32"/>
          <w:szCs w:val="32"/>
          <w:highlight w:val="none"/>
        </w:rPr>
        <w:t>充分利用行政边界、交通干线（次干路及以上级别）、公园绿地、河流湖泊、自然地形等作为边界。</w:t>
      </w:r>
    </w:p>
    <w:p w14:paraId="2AFA354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color w:val="000000"/>
          <w:sz w:val="32"/>
          <w:szCs w:val="32"/>
          <w:highlight w:val="none"/>
        </w:rPr>
        <w:t>单个噪声敏感建筑物集中区域面积原则上不小于0.1平方公里</w:t>
      </w:r>
      <w:r>
        <w:rPr>
          <w:rFonts w:hint="eastAsia" w:ascii="仿宋_GB2312" w:hAnsi="仿宋_GB2312" w:eastAsia="仿宋_GB2312" w:cs="仿宋_GB2312"/>
          <w:sz w:val="32"/>
          <w:szCs w:val="32"/>
          <w:highlight w:val="none"/>
        </w:rPr>
        <w:t>。</w:t>
      </w:r>
    </w:p>
    <w:p w14:paraId="2B8F64E0">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lang w:eastAsia="zh-CN"/>
        </w:rPr>
      </w:pPr>
      <w:r>
        <w:rPr>
          <w:rFonts w:hint="eastAsia" w:ascii="楷体_GB2312" w:hAnsi="Times New Roman" w:eastAsia="楷体_GB2312"/>
          <w:sz w:val="32"/>
          <w:szCs w:val="32"/>
          <w:highlight w:val="none"/>
          <w:lang w:eastAsia="zh-CN"/>
        </w:rPr>
        <w:t>（三）划分结果</w:t>
      </w:r>
    </w:p>
    <w:p w14:paraId="520AF8C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rPr>
      </w:pPr>
      <w:r>
        <w:rPr>
          <w:rFonts w:hint="eastAsia" w:ascii="仿宋_GB2312" w:hAnsi="仿宋_GB2312" w:eastAsia="仿宋_GB2312" w:cs="仿宋_GB2312"/>
          <w:sz w:val="32"/>
          <w:szCs w:val="32"/>
        </w:rPr>
        <w:t>本次共划定敏感建筑物集中区域</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块，面积1.</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平方公里，占新旧动能转换起步区1类和2类声功能区面积的</w:t>
      </w:r>
      <w:r>
        <w:rPr>
          <w:rFonts w:hint="eastAsia" w:ascii="仿宋_GB2312" w:hAnsi="仿宋_GB2312" w:eastAsia="仿宋_GB2312" w:cs="仿宋_GB2312"/>
          <w:sz w:val="32"/>
          <w:szCs w:val="32"/>
          <w:lang w:val="en-US" w:eastAsia="zh-CN"/>
        </w:rPr>
        <w:t>4.83</w:t>
      </w:r>
      <w:r>
        <w:rPr>
          <w:rFonts w:hint="eastAsia" w:ascii="仿宋_GB2312" w:hAnsi="仿宋_GB2312" w:eastAsia="仿宋_GB2312" w:cs="仿宋_GB2312"/>
          <w:sz w:val="32"/>
          <w:szCs w:val="32"/>
        </w:rPr>
        <w:t>%，占新旧动能转换起步区总面积的0.</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%。详见附图和附表。</w:t>
      </w:r>
    </w:p>
    <w:p w14:paraId="51A17E21">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四、实施要求</w:t>
      </w:r>
    </w:p>
    <w:p w14:paraId="4A874190">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rPr>
      </w:pPr>
      <w:r>
        <w:rPr>
          <w:rFonts w:hint="eastAsia" w:ascii="楷体_GB2312" w:hAnsi="Times New Roman" w:eastAsia="楷体_GB2312"/>
          <w:sz w:val="32"/>
          <w:szCs w:val="32"/>
          <w:highlight w:val="none"/>
        </w:rPr>
        <w:t>（一）管理要求</w:t>
      </w:r>
    </w:p>
    <w:p w14:paraId="019308C2">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噪声敏感建筑物集中区域的管理按照《中华人民共和国噪声污染防治法》第十四条、第三十五条、第四十一条、第四十二条、第四十三条、第四十五条、第四十六条、第六十四条、第七十条、第七十四条、第七十七条、第七十八条、第八十二条的规定执行。</w:t>
      </w:r>
    </w:p>
    <w:p w14:paraId="417E88D1">
      <w:pPr>
        <w:keepNext w:val="0"/>
        <w:keepLines w:val="0"/>
        <w:pageBreakBefore w:val="0"/>
        <w:widowControl w:val="0"/>
        <w:numPr>
          <w:ilvl w:val="0"/>
          <w:numId w:val="1"/>
        </w:numPr>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sz w:val="32"/>
          <w:szCs w:val="32"/>
          <w:highlight w:val="none"/>
        </w:rPr>
      </w:pPr>
      <w:r>
        <w:rPr>
          <w:rFonts w:hint="eastAsia" w:ascii="楷体_GB2312" w:hAnsi="Times New Roman" w:eastAsia="楷体_GB2312"/>
          <w:sz w:val="32"/>
          <w:szCs w:val="32"/>
          <w:highlight w:val="none"/>
        </w:rPr>
        <w:t>管理附则</w:t>
      </w:r>
    </w:p>
    <w:p w14:paraId="7B5387C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sz w:val="32"/>
          <w:szCs w:val="32"/>
          <w:highlight w:val="none"/>
        </w:rPr>
        <w:t>针对</w:t>
      </w:r>
      <w:r>
        <w:rPr>
          <w:rFonts w:hint="eastAsia" w:ascii="仿宋_GB2312" w:hAnsi="仿宋_GB2312" w:eastAsia="仿宋_GB2312" w:cs="仿宋_GB2312"/>
          <w:sz w:val="32"/>
          <w:highlight w:val="none"/>
        </w:rPr>
        <w:t>噪声敏感建筑物集中区域，若周边存在一定规模的施工工地，则该范围按照噪声敏感建筑物集中区域有关要求进行管理。当施工工地完成施工，周边范围内噪声敏感建筑物不再受施工噪声影响，</w:t>
      </w:r>
      <w:r>
        <w:rPr>
          <w:rFonts w:hint="eastAsia" w:ascii="仿宋_GB2312" w:hAnsi="仿宋_GB2312" w:eastAsia="仿宋_GB2312" w:cs="仿宋_GB2312"/>
          <w:sz w:val="32"/>
          <w:highlight w:val="none"/>
          <w:lang w:eastAsia="zh-CN"/>
        </w:rPr>
        <w:t>相应</w:t>
      </w:r>
      <w:r>
        <w:rPr>
          <w:rFonts w:hint="eastAsia" w:ascii="仿宋_GB2312" w:hAnsi="仿宋_GB2312" w:eastAsia="仿宋_GB2312" w:cs="仿宋_GB2312"/>
          <w:sz w:val="32"/>
          <w:highlight w:val="none"/>
          <w:lang w:val="en-US" w:eastAsia="zh-CN"/>
        </w:rPr>
        <w:t>管理要求自动取消</w:t>
      </w:r>
      <w:r>
        <w:rPr>
          <w:rFonts w:hint="eastAsia" w:ascii="仿宋_GB2312" w:hAnsi="仿宋_GB2312" w:eastAsia="仿宋_GB2312" w:cs="仿宋_GB2312"/>
          <w:sz w:val="32"/>
          <w:szCs w:val="32"/>
          <w:highlight w:val="none"/>
        </w:rPr>
        <w:t>。</w:t>
      </w:r>
    </w:p>
    <w:p w14:paraId="5E72B6D8">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w:t>
      </w:r>
      <w:r>
        <w:rPr>
          <w:rFonts w:hint="default" w:ascii="仿宋_GB2312" w:hAnsi="仿宋_GB2312" w:eastAsia="仿宋_GB2312" w:cs="仿宋_GB2312"/>
          <w:sz w:val="32"/>
          <w:highlight w:val="none"/>
          <w:lang w:val="en-US" w:eastAsia="zh-CN"/>
        </w:rPr>
        <w:t>在噪声敏感建筑物集中区域内，除下列情形外，禁止使用高音广播喇叭：发生抢险、抢修、救灾等紧急情况的；举办经依法批准的文化、体育、庆典等社会活动的；各类学校（含幼儿园）开展教学相关活动的。</w:t>
      </w:r>
    </w:p>
    <w:p w14:paraId="0442E13B">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仿宋_GB2312" w:hAnsi="仿宋_GB2312" w:eastAsia="仿宋_GB2312" w:cs="仿宋_GB2312"/>
          <w:sz w:val="32"/>
          <w:highlight w:val="none"/>
          <w:lang w:val="en-US" w:eastAsia="zh-CN"/>
        </w:rPr>
      </w:pPr>
      <w:r>
        <w:rPr>
          <w:rFonts w:hint="eastAsia" w:ascii="仿宋_GB2312" w:hAnsi="仿宋_GB2312" w:eastAsia="仿宋_GB2312" w:cs="仿宋_GB2312"/>
          <w:kern w:val="2"/>
          <w:sz w:val="32"/>
          <w:szCs w:val="24"/>
          <w:highlight w:val="none"/>
          <w:lang w:val="en-US" w:eastAsia="zh-CN" w:bidi="ar-SA"/>
        </w:rPr>
        <w:t>3.</w:t>
      </w:r>
      <w:r>
        <w:rPr>
          <w:rFonts w:hint="default" w:ascii="仿宋_GB2312" w:hAnsi="仿宋_GB2312" w:eastAsia="仿宋_GB2312" w:cs="仿宋_GB2312"/>
          <w:sz w:val="32"/>
          <w:highlight w:val="none"/>
          <w:lang w:val="en-US" w:eastAsia="zh-CN"/>
        </w:rPr>
        <w:t>噪声</w:t>
      </w:r>
      <w:r>
        <w:rPr>
          <w:rFonts w:hint="eastAsia" w:ascii="仿宋_GB2312" w:hAnsi="仿宋_GB2312" w:eastAsia="仿宋_GB2312" w:cs="仿宋_GB2312"/>
          <w:sz w:val="32"/>
          <w:highlight w:val="none"/>
        </w:rPr>
        <w:t>敏感建筑物集中区域</w:t>
      </w:r>
      <w:r>
        <w:rPr>
          <w:rFonts w:hint="eastAsia" w:ascii="仿宋_GB2312" w:hAnsi="仿宋_GB2312" w:eastAsia="仿宋_GB2312" w:cs="仿宋_GB2312"/>
          <w:sz w:val="32"/>
          <w:highlight w:val="none"/>
          <w:lang w:val="en-US" w:eastAsia="zh-CN"/>
        </w:rPr>
        <w:t>管理</w:t>
      </w:r>
      <w:r>
        <w:rPr>
          <w:rFonts w:hint="default" w:ascii="仿宋_GB2312" w:hAnsi="仿宋_GB2312" w:eastAsia="仿宋_GB2312" w:cs="仿宋_GB2312"/>
          <w:sz w:val="32"/>
          <w:highlight w:val="none"/>
          <w:lang w:val="en-US" w:eastAsia="zh-CN"/>
        </w:rPr>
        <w:t>职责分工按照《</w:t>
      </w:r>
      <w:r>
        <w:rPr>
          <w:rFonts w:hint="eastAsia" w:ascii="仿宋_GB2312" w:hAnsi="仿宋_GB2312" w:eastAsia="仿宋_GB2312" w:cs="仿宋_GB2312"/>
          <w:sz w:val="32"/>
          <w:highlight w:val="none"/>
          <w:lang w:val="en-US" w:eastAsia="zh-CN"/>
        </w:rPr>
        <w:t>济南</w:t>
      </w:r>
      <w:r>
        <w:rPr>
          <w:rFonts w:hint="default" w:ascii="仿宋_GB2312" w:hAnsi="仿宋_GB2312" w:eastAsia="仿宋_GB2312" w:cs="仿宋_GB2312"/>
          <w:sz w:val="32"/>
          <w:highlight w:val="none"/>
          <w:lang w:val="en-US" w:eastAsia="zh-CN"/>
        </w:rPr>
        <w:t>市人民政府关于印发〈中华人民共和国噪声污染防治法〉</w:t>
      </w:r>
      <w:r>
        <w:rPr>
          <w:rFonts w:hint="eastAsia" w:ascii="仿宋_GB2312" w:hAnsi="仿宋_GB2312" w:eastAsia="仿宋_GB2312" w:cs="仿宋_GB2312"/>
          <w:sz w:val="32"/>
          <w:highlight w:val="none"/>
          <w:lang w:val="en-US" w:eastAsia="zh-CN"/>
        </w:rPr>
        <w:t>部分</w:t>
      </w:r>
      <w:r>
        <w:rPr>
          <w:rFonts w:hint="default" w:ascii="仿宋_GB2312" w:hAnsi="仿宋_GB2312" w:eastAsia="仿宋_GB2312" w:cs="仿宋_GB2312"/>
          <w:sz w:val="32"/>
          <w:highlight w:val="none"/>
          <w:lang w:val="en-US" w:eastAsia="zh-CN"/>
        </w:rPr>
        <w:t>条款部门</w:t>
      </w:r>
      <w:r>
        <w:rPr>
          <w:rFonts w:hint="eastAsia" w:ascii="仿宋_GB2312" w:hAnsi="仿宋_GB2312" w:eastAsia="仿宋_GB2312" w:cs="仿宋_GB2312"/>
          <w:sz w:val="32"/>
          <w:highlight w:val="none"/>
          <w:lang w:val="en-US" w:eastAsia="zh-CN"/>
        </w:rPr>
        <w:t>职责分工清单（试行）的通知</w:t>
      </w:r>
      <w:r>
        <w:rPr>
          <w:rFonts w:hint="default" w:ascii="仿宋_GB2312" w:hAnsi="仿宋_GB2312" w:eastAsia="仿宋_GB2312" w:cs="仿宋_GB2312"/>
          <w:sz w:val="32"/>
          <w:highlight w:val="none"/>
          <w:lang w:val="en-US" w:eastAsia="zh-CN"/>
        </w:rPr>
        <w:t>》</w:t>
      </w:r>
      <w:r>
        <w:rPr>
          <w:rFonts w:hint="eastAsia" w:ascii="仿宋_GB2312" w:hAnsi="仿宋_GB2312" w:eastAsia="仿宋_GB2312" w:cs="仿宋_GB2312"/>
          <w:sz w:val="32"/>
          <w:highlight w:val="none"/>
          <w:lang w:val="en-US" w:eastAsia="zh-CN"/>
        </w:rPr>
        <w:t>（济政字﹝2024﹞72号）</w:t>
      </w:r>
      <w:r>
        <w:rPr>
          <w:rFonts w:hint="default" w:ascii="仿宋_GB2312" w:hAnsi="仿宋_GB2312" w:eastAsia="仿宋_GB2312" w:cs="仿宋_GB2312"/>
          <w:sz w:val="32"/>
          <w:highlight w:val="none"/>
          <w:lang w:val="en-US" w:eastAsia="zh-CN"/>
        </w:rPr>
        <w:t>执行。</w:t>
      </w:r>
    </w:p>
    <w:p w14:paraId="682823F9">
      <w:pPr>
        <w:keepNext w:val="0"/>
        <w:keepLines w:val="0"/>
        <w:pageBreakBefore w:val="0"/>
        <w:widowControl w:val="0"/>
        <w:numPr>
          <w:ilvl w:val="0"/>
          <w:numId w:val="1"/>
        </w:numPr>
        <w:kinsoku/>
        <w:wordWrap/>
        <w:overflowPunct/>
        <w:topLinePunct w:val="0"/>
        <w:autoSpaceDE/>
        <w:autoSpaceDN/>
        <w:bidi w:val="0"/>
        <w:spacing w:line="579" w:lineRule="exact"/>
        <w:ind w:firstLine="640" w:firstLineChars="200"/>
        <w:textAlignment w:val="auto"/>
        <w:outlineLvl w:val="1"/>
        <w:rPr>
          <w:rFonts w:hint="eastAsia" w:ascii="楷体_GB2312" w:hAnsi="Times New Roman" w:eastAsia="楷体_GB2312" w:cs="Times New Roman"/>
          <w:sz w:val="32"/>
          <w:szCs w:val="32"/>
          <w:highlight w:val="none"/>
          <w:lang w:val="en-US" w:eastAsia="zh-CN"/>
        </w:rPr>
      </w:pPr>
      <w:r>
        <w:rPr>
          <w:rFonts w:hint="eastAsia" w:ascii="楷体_GB2312" w:hAnsi="Times New Roman" w:eastAsia="楷体_GB2312" w:cs="Times New Roman"/>
          <w:sz w:val="32"/>
          <w:szCs w:val="32"/>
          <w:highlight w:val="none"/>
          <w:lang w:val="en-US" w:eastAsia="zh-CN"/>
        </w:rPr>
        <w:t>其他</w:t>
      </w:r>
    </w:p>
    <w:p w14:paraId="4200EC82">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1.根据本区用地规模、性质或控制性详细规划变化情况，适时对噪声敏感建筑物集中区域实施动态修编。</w:t>
      </w:r>
    </w:p>
    <w:p w14:paraId="4E4D325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2.本方案自发布之日起实施。</w:t>
      </w:r>
    </w:p>
    <w:p w14:paraId="23609BE5">
      <w:pPr>
        <w:pStyle w:val="5"/>
        <w:rPr>
          <w:rFonts w:hint="eastAsia"/>
          <w:lang w:val="en-US" w:eastAsia="zh-CN"/>
        </w:rPr>
      </w:pPr>
    </w:p>
    <w:p w14:paraId="1C3C0F0F">
      <w:pPr>
        <w:pStyle w:val="5"/>
        <w:rPr>
          <w:rFonts w:hint="eastAsia"/>
          <w:lang w:val="en-US" w:eastAsia="zh-CN"/>
        </w:rPr>
      </w:pPr>
    </w:p>
    <w:p w14:paraId="68D08BC7">
      <w:pPr>
        <w:pStyle w:val="5"/>
        <w:rPr>
          <w:rFonts w:hint="eastAsia"/>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1AC9E0B0">
      <w:pPr>
        <w:spacing w:line="600" w:lineRule="exact"/>
        <w:jc w:val="left"/>
        <w:outlineLvl w:val="0"/>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bidi="ar"/>
        </w:rPr>
        <w:t>附图</w:t>
      </w:r>
      <w:r>
        <w:rPr>
          <w:rFonts w:hint="eastAsia" w:ascii="仿宋_GB2312" w:hAnsi="仿宋_GB2312" w:eastAsia="仿宋_GB2312" w:cs="仿宋_GB2312"/>
          <w:sz w:val="32"/>
          <w:szCs w:val="32"/>
        </w:rPr>
        <w:t xml:space="preserve"> </w:t>
      </w:r>
    </w:p>
    <w:p w14:paraId="31E34698">
      <w:pPr>
        <w:snapToGrid w:val="0"/>
        <w:spacing w:line="600" w:lineRule="exact"/>
        <w:jc w:val="center"/>
        <w:outlineLvl w:val="0"/>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lang w:val="en-US" w:eastAsia="zh-CN"/>
        </w:rPr>
        <w:t>济南</w:t>
      </w:r>
      <w:r>
        <w:rPr>
          <w:rFonts w:hint="eastAsia" w:ascii="方正小标宋简体" w:hAnsi="方正小标宋简体" w:eastAsia="方正小标宋简体" w:cs="方正小标宋简体"/>
          <w:color w:val="333333"/>
          <w:sz w:val="44"/>
          <w:szCs w:val="44"/>
        </w:rPr>
        <w:t>新旧动能转换起步区噪声敏感建筑物集中区域分布图</w:t>
      </w:r>
    </w:p>
    <w:p w14:paraId="5FF2169A">
      <w:pPr>
        <w:pStyle w:val="5"/>
        <w:rPr>
          <w:rFonts w:hint="eastAsia"/>
          <w:lang w:val="en-US" w:eastAsia="zh-CN"/>
        </w:rPr>
      </w:pPr>
    </w:p>
    <w:p w14:paraId="3617702F">
      <w:pPr>
        <w:pStyle w:val="5"/>
        <w:rPr>
          <w:rFonts w:hint="eastAsia"/>
          <w:lang w:val="en-US" w:eastAsia="zh-CN"/>
        </w:rPr>
        <w:sectPr>
          <w:footerReference r:id="rId4" w:type="default"/>
          <w:pgSz w:w="16838" w:h="11906" w:orient="landscape"/>
          <w:pgMar w:top="1587" w:right="2098" w:bottom="1474" w:left="1984" w:header="851" w:footer="992" w:gutter="0"/>
          <w:pgNumType w:fmt="decimal" w:start="6"/>
          <w:cols w:space="425" w:num="1"/>
          <w:docGrid w:type="lines" w:linePitch="312" w:charSpace="0"/>
        </w:sectPr>
      </w:pPr>
      <w:r>
        <w:rPr>
          <w:rFonts w:hint="eastAsia" w:eastAsia="宋体"/>
          <w:lang w:eastAsia="zh-CN"/>
        </w:rPr>
        <w:drawing>
          <wp:anchor distT="0" distB="0" distL="114300" distR="114300" simplePos="0" relativeHeight="251660288" behindDoc="0" locked="0" layoutInCell="1" allowOverlap="1">
            <wp:simplePos x="0" y="0"/>
            <wp:positionH relativeFrom="column">
              <wp:posOffset>673100</wp:posOffset>
            </wp:positionH>
            <wp:positionV relativeFrom="paragraph">
              <wp:posOffset>182245</wp:posOffset>
            </wp:positionV>
            <wp:extent cx="6526530" cy="4740275"/>
            <wp:effectExtent l="0" t="0" r="7620" b="3175"/>
            <wp:wrapSquare wrapText="bothSides"/>
            <wp:docPr id="1" name="图片 2" descr="起步区噪声敏感集中区_制图_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起步区噪声敏感集中区_制图_1125"/>
                    <pic:cNvPicPr>
                      <a:picLocks noChangeAspect="1"/>
                    </pic:cNvPicPr>
                  </pic:nvPicPr>
                  <pic:blipFill>
                    <a:blip r:embed="rId7"/>
                    <a:srcRect t="3165"/>
                    <a:stretch>
                      <a:fillRect/>
                    </a:stretch>
                  </pic:blipFill>
                  <pic:spPr>
                    <a:xfrm>
                      <a:off x="0" y="0"/>
                      <a:ext cx="6526530" cy="4740275"/>
                    </a:xfrm>
                    <a:prstGeom prst="rect">
                      <a:avLst/>
                    </a:prstGeom>
                    <a:noFill/>
                    <a:ln>
                      <a:noFill/>
                    </a:ln>
                  </pic:spPr>
                </pic:pic>
              </a:graphicData>
            </a:graphic>
          </wp:anchor>
        </w:drawing>
      </w:r>
    </w:p>
    <w:p w14:paraId="4ACD7CA6">
      <w:pPr>
        <w:spacing w:line="600" w:lineRule="exact"/>
        <w:jc w:val="left"/>
        <w:outlineLvl w:val="0"/>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bidi="ar"/>
        </w:rPr>
        <w:t>附表</w:t>
      </w:r>
      <w:r>
        <w:rPr>
          <w:rFonts w:hint="eastAsia" w:ascii="仿宋_GB2312" w:hAnsi="仿宋_GB2312" w:eastAsia="仿宋_GB2312" w:cs="仿宋_GB2312"/>
          <w:sz w:val="32"/>
          <w:szCs w:val="32"/>
        </w:rPr>
        <w:t xml:space="preserve"> </w:t>
      </w:r>
    </w:p>
    <w:p w14:paraId="6FF772B8">
      <w:pPr>
        <w:snapToGrid w:val="0"/>
        <w:spacing w:line="600" w:lineRule="exact"/>
        <w:jc w:val="center"/>
        <w:outlineLvl w:val="0"/>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lang w:val="en-US" w:eastAsia="zh-CN"/>
        </w:rPr>
        <w:t>济南</w:t>
      </w:r>
      <w:r>
        <w:rPr>
          <w:rFonts w:hint="eastAsia" w:ascii="方正小标宋简体" w:hAnsi="方正小标宋简体" w:eastAsia="方正小标宋简体" w:cs="方正小标宋简体"/>
          <w:color w:val="333333"/>
          <w:sz w:val="44"/>
          <w:szCs w:val="44"/>
        </w:rPr>
        <w:t>新旧动能转换起步区噪声敏感建筑物集中区域统计清单</w:t>
      </w:r>
    </w:p>
    <w:tbl>
      <w:tblPr>
        <w:tblStyle w:val="9"/>
        <w:tblW w:w="4627" w:type="pct"/>
        <w:jc w:val="center"/>
        <w:tblLayout w:type="fixed"/>
        <w:tblCellMar>
          <w:top w:w="0" w:type="dxa"/>
          <w:left w:w="108" w:type="dxa"/>
          <w:bottom w:w="0" w:type="dxa"/>
          <w:right w:w="108" w:type="dxa"/>
        </w:tblCellMar>
      </w:tblPr>
      <w:tblGrid>
        <w:gridCol w:w="927"/>
        <w:gridCol w:w="1890"/>
        <w:gridCol w:w="8320"/>
        <w:gridCol w:w="867"/>
      </w:tblGrid>
      <w:tr w14:paraId="0E172B9A">
        <w:tblPrEx>
          <w:tblCellMar>
            <w:top w:w="0" w:type="dxa"/>
            <w:left w:w="108" w:type="dxa"/>
            <w:bottom w:w="0" w:type="dxa"/>
            <w:right w:w="108" w:type="dxa"/>
          </w:tblCellMar>
        </w:tblPrEx>
        <w:trPr>
          <w:trHeight w:val="288" w:hRule="atLeast"/>
          <w:tblHeader/>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58353C81">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编号</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704491C8">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区域名称</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3948C5ED">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区域边界</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5D2C2F2">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面积（km</w:t>
            </w:r>
            <w:r>
              <w:rPr>
                <w:rFonts w:hint="eastAsia" w:ascii="仿宋_GB2312" w:hAnsi="仿宋_GB2312" w:eastAsia="仿宋_GB2312" w:cs="仿宋_GB2312"/>
                <w:b/>
                <w:bCs/>
                <w:color w:val="000000"/>
                <w:kern w:val="0"/>
                <w:sz w:val="22"/>
                <w:szCs w:val="22"/>
                <w:vertAlign w:val="superscript"/>
                <w:lang w:bidi="ar"/>
              </w:rPr>
              <w:t>2</w:t>
            </w:r>
            <w:r>
              <w:rPr>
                <w:rFonts w:hint="eastAsia" w:ascii="仿宋_GB2312" w:hAnsi="仿宋_GB2312" w:eastAsia="仿宋_GB2312" w:cs="仿宋_GB2312"/>
                <w:b/>
                <w:bCs/>
                <w:color w:val="000000"/>
                <w:kern w:val="0"/>
                <w:sz w:val="22"/>
                <w:szCs w:val="22"/>
                <w:lang w:bidi="ar"/>
              </w:rPr>
              <w:t>）</w:t>
            </w:r>
          </w:p>
        </w:tc>
      </w:tr>
      <w:tr w14:paraId="34EE7483">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2733BB8B">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1</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26D426A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清宁理想社区</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崔寨安置区等区域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73FFD00C">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东：绿地国博城新里风华东边界</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南：绿地国博城新里风华南边界</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崔寨安置区工地南边界</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西：萃清路</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北：清济大街路南河流</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074805E">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0.17</w:t>
            </w:r>
          </w:p>
        </w:tc>
      </w:tr>
      <w:tr w14:paraId="7AB47A57">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24D012E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2</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628510C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山东英才学院</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北校区</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0590F9D1">
            <w:pPr>
              <w:widowControl/>
              <w:jc w:val="left"/>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东：前街社区东区东边界</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萃清佳苑小区6区东边界</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佑生街</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中智路</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银丰世纪公园东边界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南：解营路</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银丰世纪公园南边界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西：萃清路</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前街社区东区西边界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北：前街社区东区北边界</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3CFCBF8">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0.36</w:t>
            </w:r>
          </w:p>
        </w:tc>
      </w:tr>
      <w:tr w14:paraId="20B208B2">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142B619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3</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364A6C0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河润理想社区</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河润美苑等区域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57209018">
            <w:pPr>
              <w:widowControl/>
              <w:jc w:val="left"/>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东：润生路</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南：绿地国博城新里锦绣南边界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西：黄河大道快速路</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北：绿地国博城新里拾光北边界</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济南起步区起航实验小学北边界</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20B6F09">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0.12</w:t>
            </w:r>
          </w:p>
        </w:tc>
      </w:tr>
      <w:tr w14:paraId="0A71812B">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382F56EA">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4</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6CF5D34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前街社区</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萃清小学等区域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128D333F">
            <w:pPr>
              <w:widowControl/>
              <w:jc w:val="left"/>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东：萃清路</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南：崔寨镇前街社区1期南边界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西：崔寨镇前街社区1期西边界</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前街社区北区西边界</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前街社区北区北边界</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济南市济阳区萃清小学西边界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北：济南市济阳区萃清小学北边界</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5421FBC6">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0.23</w:t>
            </w:r>
          </w:p>
        </w:tc>
      </w:tr>
      <w:tr w14:paraId="6298C575">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488F16F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5</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56EFD85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绿地国博城新里风华等区域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30FE28D6">
            <w:pPr>
              <w:widowControl/>
              <w:jc w:val="left"/>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东：启新家园东边界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南：X202-启新家园南边界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西：启新家园西边界-中兴大街</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北：迎宾大街</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3E648AF">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0.21</w:t>
            </w:r>
          </w:p>
        </w:tc>
      </w:tr>
      <w:tr w14:paraId="1D5CD0AA">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69C33DF6">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6</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3C4E4AA7">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银丰世纪公园等区域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1475D71D">
            <w:pPr>
              <w:widowControl/>
              <w:jc w:val="left"/>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东：黄河大道</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南：义和庄街</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西：山东英才学院</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北校区</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西边界</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北：山东英才学院</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北校区</w:t>
            </w:r>
            <w:r>
              <w:rPr>
                <w:rFonts w:hint="eastAsia" w:ascii="仿宋_GB2312" w:hAnsi="仿宋_GB2312" w:eastAsia="仿宋_GB2312" w:cs="仿宋_GB2312"/>
                <w:color w:val="000000"/>
                <w:kern w:val="0"/>
                <w:sz w:val="22"/>
                <w:szCs w:val="22"/>
                <w:lang w:eastAsia="zh-CN" w:bidi="ar"/>
              </w:rPr>
              <w:t>）</w:t>
            </w:r>
            <w:r>
              <w:rPr>
                <w:rFonts w:ascii="仿宋_GB2312" w:hAnsi="仿宋_GB2312" w:eastAsia="仿宋_GB2312" w:cs="仿宋_GB2312"/>
                <w:color w:val="000000"/>
                <w:kern w:val="0"/>
                <w:sz w:val="22"/>
                <w:szCs w:val="22"/>
                <w:lang w:bidi="ar"/>
              </w:rPr>
              <w:t>北边界</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F9F7E9F">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0.18</w:t>
            </w:r>
          </w:p>
        </w:tc>
      </w:tr>
      <w:tr w14:paraId="6854B5E2">
        <w:tblPrEx>
          <w:tblCellMar>
            <w:top w:w="0" w:type="dxa"/>
            <w:left w:w="108" w:type="dxa"/>
            <w:bottom w:w="0" w:type="dxa"/>
            <w:right w:w="108" w:type="dxa"/>
          </w:tblCellMar>
        </w:tblPrEx>
        <w:trPr>
          <w:trHeight w:val="288"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14:paraId="6E7C842B">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QB-</w:t>
            </w:r>
            <w:r>
              <w:rPr>
                <w:rFonts w:hint="eastAsia" w:ascii="仿宋_GB2312" w:hAnsi="仿宋_GB2312" w:eastAsia="仿宋_GB2312" w:cs="仿宋_GB2312"/>
                <w:color w:val="000000"/>
                <w:kern w:val="0"/>
                <w:sz w:val="22"/>
                <w:szCs w:val="22"/>
                <w:lang w:val="en-US" w:eastAsia="zh-CN" w:bidi="ar"/>
              </w:rPr>
              <w:t>7</w:t>
            </w:r>
          </w:p>
        </w:tc>
        <w:tc>
          <w:tcPr>
            <w:tcW w:w="787" w:type="pct"/>
            <w:tcBorders>
              <w:top w:val="single" w:color="000000" w:sz="4" w:space="0"/>
              <w:left w:val="single" w:color="000000" w:sz="4" w:space="0"/>
              <w:bottom w:val="single" w:color="000000" w:sz="4" w:space="0"/>
              <w:right w:val="single" w:color="000000" w:sz="4" w:space="0"/>
            </w:tcBorders>
            <w:noWrap/>
            <w:vAlign w:val="center"/>
          </w:tcPr>
          <w:p w14:paraId="57C2AB0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绿地国博城新里锦绣</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济南起步区起航等区域</w:t>
            </w:r>
          </w:p>
        </w:tc>
        <w:tc>
          <w:tcPr>
            <w:tcW w:w="3465" w:type="pct"/>
            <w:tcBorders>
              <w:top w:val="single" w:color="000000" w:sz="4" w:space="0"/>
              <w:left w:val="single" w:color="000000" w:sz="4" w:space="0"/>
              <w:bottom w:val="single" w:color="000000" w:sz="4" w:space="0"/>
              <w:right w:val="single" w:color="000000" w:sz="4" w:space="0"/>
            </w:tcBorders>
            <w:noWrap/>
            <w:vAlign w:val="center"/>
          </w:tcPr>
          <w:p w14:paraId="7D048461">
            <w:pPr>
              <w:widowControl/>
              <w:jc w:val="left"/>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东：赵河路（不含与张仙寨大街交叉口西南侧商业建筑）</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南：京东南边界路</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西：赵河路与京东南边界路交叉口西边路口南北向无名道路</w:t>
            </w:r>
            <w:r>
              <w:rPr>
                <w:rFonts w:ascii="仿宋_GB2312" w:hAnsi="仿宋_GB2312" w:eastAsia="仿宋_GB2312" w:cs="仿宋_GB2312"/>
                <w:color w:val="000000"/>
                <w:kern w:val="0"/>
                <w:sz w:val="22"/>
                <w:szCs w:val="22"/>
                <w:lang w:bidi="ar"/>
              </w:rPr>
              <w:br w:type="textWrapping"/>
            </w:r>
            <w:r>
              <w:rPr>
                <w:rFonts w:ascii="仿宋_GB2312" w:hAnsi="仿宋_GB2312" w:eastAsia="仿宋_GB2312" w:cs="仿宋_GB2312"/>
                <w:color w:val="000000"/>
                <w:kern w:val="0"/>
                <w:sz w:val="22"/>
                <w:szCs w:val="22"/>
                <w:lang w:bidi="ar"/>
              </w:rPr>
              <w:t>北：张仙寨大街</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9E547A9">
            <w:pPr>
              <w:widowControl/>
              <w:jc w:val="center"/>
              <w:textAlignment w:val="center"/>
              <w:rPr>
                <w:rFonts w:hint="eastAsia"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0.18</w:t>
            </w:r>
          </w:p>
        </w:tc>
      </w:tr>
    </w:tbl>
    <w:p w14:paraId="3952031B">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882" w:leftChars="120" w:hanging="630" w:hangingChars="300"/>
        <w:textAlignment w:val="auto"/>
        <w:rPr>
          <w:rFonts w:hint="eastAsia"/>
          <w:lang w:val="en-US" w:eastAsia="zh-CN"/>
        </w:rPr>
      </w:pPr>
      <w:bookmarkStart w:id="1" w:name="_GoBack"/>
      <w:bookmarkEnd w:id="1"/>
    </w:p>
    <w:sectPr>
      <w:footerReference r:id="rId5" w:type="default"/>
      <w:pgSz w:w="16838" w:h="11906" w:orient="landscape"/>
      <w:pgMar w:top="1587" w:right="2098" w:bottom="1474" w:left="1984" w:header="851" w:footer="992"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92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75C7C">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1</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675C7C">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1</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5F1B">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7477125</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77B37">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cs="宋体"/>
                              <w:sz w:val="28"/>
                              <w:szCs w:val="44"/>
                              <w:lang w:val="en-US" w:eastAsia="zh-CN"/>
                            </w:rPr>
                            <w:t>7</w:t>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88.75pt;margin-top:6.75pt;height:144pt;width:144pt;mso-position-horizontal-relative:margin;mso-wrap-style:none;z-index:251661312;mso-width-relative:page;mso-height-relative:page;" filled="f" stroked="f" coordsize="21600,21600" o:gfxdata="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NLC41wAAAAw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0C977B37">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cs="宋体"/>
                        <w:sz w:val="28"/>
                        <w:szCs w:val="44"/>
                        <w:lang w:val="en-US" w:eastAsia="zh-CN"/>
                      </w:rPr>
                      <w:t>7</w:t>
                    </w:r>
                    <w:r>
                      <w:rPr>
                        <w:rFonts w:hint="eastAsia" w:ascii="宋体" w:hAnsi="宋体" w:eastAsia="宋体" w:cs="宋体"/>
                        <w:sz w:val="28"/>
                        <w:szCs w:val="44"/>
                        <w:lang w:eastAsia="zh-CN"/>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285750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359D5">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0pt;height:144pt;width:144pt;mso-position-horizontal-relative:margin;mso-wrap-style:none;z-index:251662336;mso-width-relative:page;mso-height-relative:page;" filled="f" stroked="f" coordsize="21600,21600" o:gfxdata="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4hiWHVAAAABw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6F4359D5">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1637">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13B8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B13B8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78ED"/>
    <w:multiLevelType w:val="singleLevel"/>
    <w:tmpl w:val="844178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7BB30C1"/>
    <w:rsid w:val="07CF3581"/>
    <w:rsid w:val="07E11FDD"/>
    <w:rsid w:val="0AD66BAD"/>
    <w:rsid w:val="0D40009C"/>
    <w:rsid w:val="0E546896"/>
    <w:rsid w:val="0EBE1B2A"/>
    <w:rsid w:val="11984340"/>
    <w:rsid w:val="11D854E4"/>
    <w:rsid w:val="123C1A16"/>
    <w:rsid w:val="15271CA0"/>
    <w:rsid w:val="16916FBF"/>
    <w:rsid w:val="181A4A3C"/>
    <w:rsid w:val="18A84F86"/>
    <w:rsid w:val="1AAC72D9"/>
    <w:rsid w:val="1C030682"/>
    <w:rsid w:val="1CE021C6"/>
    <w:rsid w:val="1EBA3929"/>
    <w:rsid w:val="1F710E32"/>
    <w:rsid w:val="20FC3B24"/>
    <w:rsid w:val="24C0032D"/>
    <w:rsid w:val="25AB1EB6"/>
    <w:rsid w:val="266A541E"/>
    <w:rsid w:val="272462F2"/>
    <w:rsid w:val="29907743"/>
    <w:rsid w:val="2B1E722A"/>
    <w:rsid w:val="2C675170"/>
    <w:rsid w:val="2D087222"/>
    <w:rsid w:val="2D4601D2"/>
    <w:rsid w:val="2DD605AA"/>
    <w:rsid w:val="31B64330"/>
    <w:rsid w:val="31C81329"/>
    <w:rsid w:val="3335418F"/>
    <w:rsid w:val="33C5616B"/>
    <w:rsid w:val="347A2CEE"/>
    <w:rsid w:val="373169CB"/>
    <w:rsid w:val="38161E38"/>
    <w:rsid w:val="393B38EF"/>
    <w:rsid w:val="3D026DA3"/>
    <w:rsid w:val="3E427218"/>
    <w:rsid w:val="3F302C55"/>
    <w:rsid w:val="3F931B0B"/>
    <w:rsid w:val="42B17DA4"/>
    <w:rsid w:val="42C86F85"/>
    <w:rsid w:val="439B7A38"/>
    <w:rsid w:val="43C83303"/>
    <w:rsid w:val="443A4E10"/>
    <w:rsid w:val="46876387"/>
    <w:rsid w:val="46FF153C"/>
    <w:rsid w:val="47B5009C"/>
    <w:rsid w:val="4883687E"/>
    <w:rsid w:val="4CBD11A3"/>
    <w:rsid w:val="4E1B6731"/>
    <w:rsid w:val="4F5B20FC"/>
    <w:rsid w:val="501D4202"/>
    <w:rsid w:val="50491953"/>
    <w:rsid w:val="50903612"/>
    <w:rsid w:val="515C63EF"/>
    <w:rsid w:val="5207787C"/>
    <w:rsid w:val="54967355"/>
    <w:rsid w:val="565E018E"/>
    <w:rsid w:val="56B22D46"/>
    <w:rsid w:val="57437223"/>
    <w:rsid w:val="588C3D6A"/>
    <w:rsid w:val="5C0E7968"/>
    <w:rsid w:val="5C516232"/>
    <w:rsid w:val="5CAD4C99"/>
    <w:rsid w:val="5D3D64C3"/>
    <w:rsid w:val="603A27F7"/>
    <w:rsid w:val="61D32D57"/>
    <w:rsid w:val="64014A1E"/>
    <w:rsid w:val="644D4B19"/>
    <w:rsid w:val="67323F9D"/>
    <w:rsid w:val="688A7E03"/>
    <w:rsid w:val="6A885FCB"/>
    <w:rsid w:val="6D562076"/>
    <w:rsid w:val="6E59607E"/>
    <w:rsid w:val="6E773235"/>
    <w:rsid w:val="6ED84B71"/>
    <w:rsid w:val="6F6053C9"/>
    <w:rsid w:val="6FC36CFC"/>
    <w:rsid w:val="6FDD60A6"/>
    <w:rsid w:val="742D4703"/>
    <w:rsid w:val="74623BA3"/>
    <w:rsid w:val="790E555A"/>
    <w:rsid w:val="79FB5918"/>
    <w:rsid w:val="7A434032"/>
    <w:rsid w:val="7A724AB9"/>
    <w:rsid w:val="7B563421"/>
    <w:rsid w:val="7B9510C4"/>
    <w:rsid w:val="7C66738C"/>
    <w:rsid w:val="7DCB1228"/>
    <w:rsid w:val="7DDA7B57"/>
    <w:rsid w:val="7EE34D2C"/>
    <w:rsid w:val="7F240E58"/>
    <w:rsid w:val="7FE32014"/>
    <w:rsid w:val="FEB6A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3">
    <w:name w:val="Normal Indent"/>
    <w:basedOn w:val="1"/>
    <w:qFormat/>
    <w:uiPriority w:val="0"/>
    <w:pPr>
      <w:ind w:firstLine="420" w:firstLineChars="200"/>
    </w:pPr>
  </w:style>
  <w:style w:type="paragraph" w:styleId="4">
    <w:name w:val="annotation text"/>
    <w:basedOn w:val="1"/>
    <w:unhideWhenUsed/>
    <w:qFormat/>
    <w:uiPriority w:val="99"/>
    <w:pPr>
      <w:jc w:val="left"/>
    </w:pPr>
    <w:rPr>
      <w:rFonts w:ascii="等线" w:hAnsi="等线" w:eastAsia="等线"/>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character" w:styleId="11">
    <w:name w:val="page number"/>
    <w:basedOn w:val="10"/>
    <w:autoRedefine/>
    <w:qFormat/>
    <w:uiPriority w:val="0"/>
  </w:style>
  <w:style w:type="character" w:styleId="12">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b680cb4c-a3db-43bb-aa1c-7384b9062859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1208BAA6</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b3ee09f9-6760-48b9-a3fc-3db0d7555ae5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182E60AF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d541feae-b126-40b9-88be-bd95aa80ef68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18C3F9C5</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a33089ea-2ec5-4c65-b2c4-459ddcbce52b</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 B901E96</paraID>
      <start xmlns="http://schemas.wps.cn/vas-ai-hub/contract-review">31</start>
      <end xmlns="http://schemas.wps.cn/vas-ai-hub/contract-review">32</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f57f1b68-2cd5-44af-92d3-15fd0a7a3bd0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B901E96</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87e92865-06aa-4627-b2d7-9864ca17caea</errorID>
      <errorWord xmlns="http://schemas.wps.cn/vas-ai-hub/contract-review">划</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被划</item>
      </candidateList>
      <explain xmlns="http://schemas.wps.cn/vas-ai-hub/contract-review">句子中可能存在主谓宾、修饰语或者必要的词语残缺。</explain>
      <paraID xmlns="http://schemas.wps.cn/vas-ai-hub/contract-review"> B901E96</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c7556356-3eff-4edc-973b-0223de1e093f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26D426AD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f56adf27-6b65-441e-81ac-b90a8cbd9d69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73FFD00C</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76c73424-0ec1-409b-b151-9a7b57ca9fb2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628510CD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456eabde-8f24-4c55-af9c-3b1373373666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628510CD</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0c11a130-02dd-4c10-9fdf-d7127b6ab6dc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590F9D1</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80b51cec-72d7-476c-8f31-80a4b68e6708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590F9D1</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9d2e6ee6-5f07-4a0f-932f-889421fbbe94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590F9D1</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79f0466e-9f40-4d2d-b318-98a97b2855dd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590F9D1</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b25d566a-e355-4682-9850-d3fd1712abd6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590F9D1</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a6298d51-bc9c-410d-829f-95222a200034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590F9D1</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9e98db49-231d-4a49-847a-028f14d2611a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364A6C0C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530cc8ff-7065-466c-bd03-ce77e0afdc46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57209018</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2e0b4b77-84a2-4bb4-9353-d09b6d571ca0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6CF5D346</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3ff3439a-4fa0-48a8-930c-42659950ee18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128D333F</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c6ef9db5-def4-413c-9ae4-6a0797b25e80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128D333F</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41801c14-1acc-47cf-9862-8bc3abd4fb11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128D333F</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7cb0f7d7-864b-4037-b662-c704eff4e0dd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1475D71D</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18562a67-508a-413b-96d7-6c53a3b261b0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1475D71D</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739562f6-67e7-45b8-a950-d698b0effa87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1475D71D</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3faeba8e-357a-448a-ba06-957c47998f01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1475D71D</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ad93febc-2d9a-4a40-8f09-5b5817991e23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57C2AB0B</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4b3b5-d697-486a-908d-0cf2081a395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2320</Words>
  <Characters>2494</Characters>
  <Lines>0</Lines>
  <Paragraphs>0</Paragraphs>
  <TotalTime>26</TotalTime>
  <ScaleCrop>false</ScaleCrop>
  <LinksUpToDate>false</LinksUpToDate>
  <CharactersWithSpaces>2520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2020-02-19T19:32:00Z</dcterms:created>
  <dc:creator>随遇而安～</dc:creator>
  <cp:lastModifiedBy>jnak</cp:lastModifiedBy>
  <cp:lastPrinted>2025-12-25T10:43:00Z</cp:lastPrinted>
  <dcterms:modified xsi:type="dcterms:W3CDTF">2025-12-25T11:09:10Z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82046172A3E543A6D6AA4C69099CE0A3_43</vt:lpwstr>
  </property>
  <property fmtid="{D5CDD505-2E9C-101B-9397-08002B2CF9AE}" pid="4" name="KSOTemplateDocerSaveRecord">
    <vt:lpwstr>eyJoZGlkIjoiOTk0ZGVmMDg1Y2QyYjhkZGM5NGZlNjUzZWZiMjNlYTciLCJ1c2VySWQiOiIxNzQxNjU3NTYxIn0=</vt:lpwstr>
  </property>
</Properties>
</file>