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A50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p>
    <w:p w14:paraId="479972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14:paraId="0E0D35C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14:paraId="27AF0E29">
      <w:pPr>
        <w:pStyle w:val="2"/>
        <w:rPr>
          <w:rFonts w:hint="eastAsia" w:ascii="黑体" w:hAnsi="黑体" w:eastAsia="黑体" w:cs="黑体"/>
          <w:kern w:val="0"/>
          <w:sz w:val="32"/>
          <w:szCs w:val="32"/>
          <w:lang w:val="en-US" w:eastAsia="zh-CN"/>
        </w:rPr>
      </w:pPr>
    </w:p>
    <w:p w14:paraId="1909F0BF">
      <w:pPr>
        <w:rPr>
          <w:rFonts w:hint="eastAsia"/>
          <w:lang w:val="en-US" w:eastAsia="zh-CN"/>
        </w:rPr>
      </w:pPr>
    </w:p>
    <w:p w14:paraId="4AF8B7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0"/>
          <w:sz w:val="32"/>
          <w:szCs w:val="32"/>
          <w:lang w:val="en-US" w:eastAsia="zh-CN"/>
        </w:rPr>
      </w:pPr>
    </w:p>
    <w:p w14:paraId="497BB112">
      <w:pPr>
        <w:keepNext w:val="0"/>
        <w:keepLines w:val="0"/>
        <w:pageBreakBefore w:val="0"/>
        <w:widowControl w:val="0"/>
        <w:kinsoku/>
        <w:wordWrap w:val="0"/>
        <w:overflowPunct/>
        <w:topLinePunct w:val="0"/>
        <w:autoSpaceDE/>
        <w:autoSpaceDN/>
        <w:bidi w:val="0"/>
        <w:adjustRightInd/>
        <w:snapToGrid/>
        <w:spacing w:line="500" w:lineRule="exact"/>
        <w:jc w:val="both"/>
        <w:textAlignment w:val="auto"/>
        <w:rPr>
          <w:rFonts w:hint="default" w:ascii="仿宋_GB2312" w:hAnsi="宋体" w:eastAsia="仿宋_GB2312" w:cs="仿宋_GB2312"/>
          <w:color w:val="000000" w:themeColor="text1"/>
          <w:kern w:val="0"/>
          <w:sz w:val="32"/>
          <w:szCs w:val="32"/>
          <w:lang w:val="en-US" w:eastAsia="en-US"/>
          <w14:textFill>
            <w14:solidFill>
              <w14:schemeClr w14:val="tx1"/>
            </w14:solidFill>
          </w14:textFill>
        </w:rPr>
      </w:pPr>
    </w:p>
    <w:p w14:paraId="1719C0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lang w:eastAsia="en-US"/>
          <w14:textFill>
            <w14:solidFill>
              <w14:schemeClr w14:val="tx1"/>
            </w14:solidFill>
          </w14:textFill>
        </w:rPr>
        <w:t>济</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起管办字</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202</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号</w:t>
      </w:r>
    </w:p>
    <w:p w14:paraId="6852C0B1">
      <w:pPr>
        <w:keepNext w:val="0"/>
        <w:keepLines w:val="0"/>
        <w:pageBreakBefore w:val="0"/>
        <w:widowControl w:val="0"/>
        <w:kinsoku/>
        <w:wordWrap/>
        <w:overflowPunct/>
        <w:topLinePunct w:val="0"/>
        <w:autoSpaceDE/>
        <w:autoSpaceDN/>
        <w:bidi w:val="0"/>
        <w:adjustRightInd/>
        <w:snapToGrid/>
        <w:spacing w:line="227" w:lineRule="exact"/>
        <w:jc w:val="left"/>
        <w:textAlignment w:val="auto"/>
        <w:rPr>
          <w:rFonts w:ascii="宋体" w:hAnsi="宋体" w:eastAsia="仿宋_GB2312" w:cs="仿宋_GB2312"/>
          <w:color w:val="000000"/>
          <w:kern w:val="0"/>
          <w:sz w:val="11"/>
          <w:szCs w:val="11"/>
          <w:lang w:eastAsia="en-US"/>
        </w:rPr>
      </w:pPr>
    </w:p>
    <w:p w14:paraId="6D30E093">
      <w:pPr>
        <w:keepNext w:val="0"/>
        <w:keepLines w:val="0"/>
        <w:pageBreakBefore w:val="0"/>
        <w:widowControl w:val="0"/>
        <w:kinsoku/>
        <w:wordWrap/>
        <w:overflowPunct/>
        <w:topLinePunct w:val="0"/>
        <w:autoSpaceDE w:val="0"/>
        <w:autoSpaceDN/>
        <w:bidi w:val="0"/>
        <w:adjustRightInd w:val="0"/>
        <w:snapToGrid w:val="0"/>
        <w:spacing w:line="579" w:lineRule="exact"/>
        <w:jc w:val="center"/>
        <w:textAlignment w:val="auto"/>
        <w:rPr>
          <w:rFonts w:hint="eastAsia" w:ascii="方正小标宋简体" w:hAnsi="宋体" w:eastAsia="方正小标宋简体" w:cs="方正小标宋_GBK"/>
          <w:sz w:val="44"/>
          <w:szCs w:val="44"/>
          <w:lang w:val="en-US" w:eastAsia="en-US"/>
        </w:rPr>
      </w:pPr>
    </w:p>
    <w:p w14:paraId="480D455F">
      <w:pPr>
        <w:keepNext w:val="0"/>
        <w:keepLines w:val="0"/>
        <w:pageBreakBefore w:val="0"/>
        <w:widowControl w:val="0"/>
        <w:kinsoku/>
        <w:wordWrap/>
        <w:overflowPunct/>
        <w:topLinePunct w:val="0"/>
        <w:autoSpaceDE/>
        <w:autoSpaceDN/>
        <w:bidi w:val="0"/>
        <w:adjustRightInd/>
        <w:snapToGrid/>
        <w:spacing w:line="579" w:lineRule="exact"/>
        <w:ind w:firstLine="664" w:firstLineChars="200"/>
        <w:textAlignment w:val="auto"/>
        <w:rPr>
          <w:rFonts w:hint="eastAsia" w:ascii="楷体_GB2312" w:hAnsi="楷体_GB2312" w:eastAsia="楷体_GB2312" w:cs="楷体_GB2312"/>
          <w:spacing w:val="6"/>
          <w:sz w:val="32"/>
          <w:lang w:val="en-US" w:eastAsia="zh-CN"/>
        </w:rPr>
      </w:pPr>
    </w:p>
    <w:p w14:paraId="705B7720">
      <w:pPr>
        <w:keepNext w:val="0"/>
        <w:keepLines w:val="0"/>
        <w:pageBreakBefore w:val="0"/>
        <w:widowControl w:val="0"/>
        <w:kinsoku/>
        <w:wordWrap/>
        <w:overflowPunct/>
        <w:topLinePunct w:val="0"/>
        <w:autoSpaceDE/>
        <w:autoSpaceDN/>
        <w:bidi w:val="0"/>
        <w:adjustRightInd/>
        <w:snapToGrid/>
        <w:spacing w:before="0" w:beforeAutospacing="0" w:afterAutospacing="0" w:line="54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济南新旧动能转换起步区管委会办公室</w:t>
      </w:r>
    </w:p>
    <w:p w14:paraId="63016BD0">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关于印发《济南新旧动能转换起步区政务云</w:t>
      </w:r>
    </w:p>
    <w:p w14:paraId="5BBA56E6">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管理办法</w:t>
      </w: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》的通知</w:t>
      </w:r>
    </w:p>
    <w:p w14:paraId="5ACF08D0">
      <w:pPr>
        <w:keepNext w:val="0"/>
        <w:keepLines w:val="0"/>
        <w:pageBreakBefore w:val="0"/>
        <w:widowControl w:val="0"/>
        <w:tabs>
          <w:tab w:val="left" w:pos="6090"/>
        </w:tabs>
        <w:kinsoku/>
        <w:wordWrap/>
        <w:overflowPunct/>
        <w:topLinePunct w:val="0"/>
        <w:autoSpaceDE/>
        <w:autoSpaceDN/>
        <w:bidi w:val="0"/>
        <w:adjustRightInd/>
        <w:snapToGrid/>
        <w:spacing w:line="540" w:lineRule="exact"/>
        <w:ind w:left="0" w:firstLine="640" w:firstLineChars="200"/>
        <w:textAlignment w:val="auto"/>
        <w:rPr>
          <w:rFonts w:hint="eastAsia" w:ascii="宋体" w:hAnsi="宋体" w:eastAsia="仿宋_GB2312" w:cs="Times New Roman"/>
          <w:color w:val="000000"/>
          <w:spacing w:val="0"/>
          <w:kern w:val="2"/>
          <w:sz w:val="32"/>
          <w:szCs w:val="32"/>
          <w:lang w:val="en-US" w:eastAsia="zh-CN" w:bidi="ar-SA"/>
        </w:rPr>
      </w:pPr>
    </w:p>
    <w:p w14:paraId="753DAE3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各街道办事处、各职能部门、驻区各单位：</w:t>
      </w:r>
    </w:p>
    <w:p w14:paraId="46CEC0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pacing w:val="0"/>
          <w:sz w:val="32"/>
          <w:lang w:val="en-US" w:eastAsia="zh-CN"/>
        </w:rPr>
      </w:pPr>
      <w:r>
        <w:rPr>
          <w:rFonts w:hint="eastAsia" w:ascii="楷体_GB2312" w:hAnsi="楷体_GB2312" w:eastAsia="楷体_GB2312" w:cs="楷体_GB2312"/>
          <w:sz w:val="32"/>
          <w:szCs w:val="32"/>
          <w:lang w:val="en-US" w:eastAsia="zh-CN"/>
        </w:rPr>
        <w:t>《济南新旧动能转换起步区政务云管理办法》</w:t>
      </w:r>
      <w:r>
        <w:rPr>
          <w:rFonts w:hint="eastAsia" w:ascii="楷体_GB2312" w:hAnsi="楷体_GB2312" w:eastAsia="楷体_GB2312" w:cs="楷体_GB2312"/>
          <w:spacing w:val="0"/>
          <w:sz w:val="32"/>
          <w:lang w:val="en-US" w:eastAsia="zh-CN"/>
        </w:rPr>
        <w:t>已经管委会同意，现印发给你们，请结合工作实际，认真贯彻执行。</w:t>
      </w:r>
    </w:p>
    <w:p w14:paraId="6CFD6C30">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spacing w:val="6"/>
          <w:sz w:val="32"/>
          <w:lang w:val="en-US" w:eastAsia="zh-CN"/>
        </w:rPr>
      </w:pPr>
    </w:p>
    <w:p w14:paraId="351613CB">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济南新旧动能转换起步区管委会办公室</w:t>
      </w:r>
    </w:p>
    <w:p w14:paraId="37D56CAA">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 xml:space="preserve">2025年1月2日          </w:t>
      </w:r>
    </w:p>
    <w:p w14:paraId="3F8FCBF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（联系电话：数字城市部大数据办公室，66604285）</w:t>
      </w:r>
    </w:p>
    <w:p w14:paraId="7FF54E0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（此件公开发布）</w:t>
      </w:r>
    </w:p>
    <w:p w14:paraId="3FBE4956">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p>
    <w:p w14:paraId="5156AE08">
      <w:pPr>
        <w:pStyle w:val="2"/>
        <w:keepLines w:val="0"/>
        <w:pageBreakBefore w:val="0"/>
        <w:wordWrap/>
        <w:topLinePunct w:val="0"/>
        <w:bidi w:val="0"/>
        <w:spacing w:line="579" w:lineRule="exact"/>
        <w:ind w:left="0" w:leftChars="0" w:firstLine="0" w:firstLineChars="0"/>
        <w:textAlignment w:val="auto"/>
        <w:rPr>
          <w:rFonts w:hint="eastAsia"/>
          <w:lang w:val="en-US" w:eastAsia="zh-CN"/>
        </w:rPr>
      </w:pPr>
    </w:p>
    <w:p w14:paraId="1A914775">
      <w:pPr>
        <w:keepLines w:val="0"/>
        <w:pageBreakBefore w:val="0"/>
        <w:wordWrap/>
        <w:overflowPunct w:val="0"/>
        <w:topLinePunct w:val="0"/>
        <w:bidi w:val="0"/>
        <w:adjustRightInd w:val="0"/>
        <w:snapToGrid w:val="0"/>
        <w:spacing w:line="579" w:lineRule="exact"/>
        <w:ind w:firstLine="440" w:firstLineChars="1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济南新旧动能转换起步区政务云管理办法</w:t>
      </w:r>
    </w:p>
    <w:p w14:paraId="09831C91">
      <w:pPr>
        <w:pStyle w:val="12"/>
        <w:keepLines w:val="0"/>
        <w:pageBreakBefore w:val="0"/>
        <w:widowControl/>
        <w:wordWrap/>
        <w:topLinePunct w:val="0"/>
        <w:bidi w:val="0"/>
        <w:spacing w:before="0" w:beforeAutospacing="0" w:after="0" w:afterAutospacing="0" w:line="579" w:lineRule="exact"/>
        <w:ind w:firstLine="420"/>
        <w:jc w:val="center"/>
        <w:textAlignment w:val="auto"/>
        <w:rPr>
          <w:rFonts w:hint="eastAsia" w:eastAsia="仿宋_GB2312"/>
          <w:b/>
          <w:bCs/>
          <w:sz w:val="32"/>
          <w:szCs w:val="32"/>
        </w:rPr>
      </w:pPr>
    </w:p>
    <w:p w14:paraId="36B8A286">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313" w:afterLines="100" w:afterAutospacing="0" w:line="579"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lang w:val="en-US" w:eastAsia="zh-CN" w:bidi="ar-SA"/>
        </w:rPr>
        <w:t>第一章</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w:t>
      </w:r>
      <w:r>
        <w:rPr>
          <w:rFonts w:hint="eastAsia" w:ascii="黑体" w:hAnsi="黑体" w:eastAsia="黑体" w:cs="黑体"/>
          <w:b w:val="0"/>
          <w:bCs w:val="0"/>
          <w:sz w:val="32"/>
          <w:szCs w:val="32"/>
          <w:lang w:eastAsia="zh-CN"/>
        </w:rPr>
        <w:t xml:space="preserve">  </w:t>
      </w:r>
      <w:r>
        <w:rPr>
          <w:rFonts w:hint="eastAsia" w:ascii="黑体" w:hAnsi="黑体" w:eastAsia="黑体" w:cs="黑体"/>
          <w:b w:val="0"/>
          <w:bCs w:val="0"/>
          <w:sz w:val="32"/>
          <w:szCs w:val="32"/>
        </w:rPr>
        <w:t>则</w:t>
      </w:r>
    </w:p>
    <w:p w14:paraId="63C3C105">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第一条</w:t>
      </w:r>
      <w:r>
        <w:rPr>
          <w:rFonts w:hint="eastAsia" w:eastAsia="仿宋_GB2312"/>
          <w:sz w:val="32"/>
          <w:szCs w:val="32"/>
          <w:lang w:eastAsia="zh-CN"/>
        </w:rPr>
        <w:t xml:space="preserve">  </w:t>
      </w:r>
      <w:r>
        <w:rPr>
          <w:rFonts w:hint="eastAsia" w:eastAsia="仿宋_GB2312"/>
          <w:sz w:val="32"/>
          <w:szCs w:val="32"/>
        </w:rPr>
        <w:t>为加强和规范我区政务云使用管理，提升政务云服务能力，实现集约化管理和应用，依据国家、省、市相关法律法规、政策规章和技术标准，结合我区实际，制定本办法。</w:t>
      </w:r>
    </w:p>
    <w:p w14:paraId="7EBE6E16">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eastAsia="zh-CN"/>
        </w:rPr>
        <w:t xml:space="preserve"> </w:t>
      </w:r>
      <w:r>
        <w:rPr>
          <w:rFonts w:hint="eastAsia" w:eastAsia="仿宋_GB2312"/>
          <w:sz w:val="32"/>
          <w:szCs w:val="32"/>
          <w:lang w:eastAsia="zh-CN"/>
        </w:rPr>
        <w:t xml:space="preserve"> </w:t>
      </w:r>
      <w:r>
        <w:rPr>
          <w:rFonts w:hint="eastAsia" w:eastAsia="仿宋_GB2312"/>
          <w:sz w:val="32"/>
          <w:szCs w:val="32"/>
        </w:rPr>
        <w:t>本办法所称政务云是指基于云计算技术建设的，专用于支撑各政务部门电子政务和政务数据应用等非涉密领域的综合服务平台。</w:t>
      </w:r>
    </w:p>
    <w:p w14:paraId="2794B434">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第三条</w:t>
      </w:r>
      <w:r>
        <w:rPr>
          <w:rFonts w:hint="eastAsia" w:eastAsia="仿宋_GB2312"/>
          <w:sz w:val="32"/>
          <w:szCs w:val="32"/>
          <w:lang w:eastAsia="zh-CN"/>
        </w:rPr>
        <w:t xml:space="preserve">  </w:t>
      </w:r>
      <w:r>
        <w:rPr>
          <w:rFonts w:hint="eastAsia" w:eastAsia="仿宋_GB2312"/>
          <w:sz w:val="32"/>
          <w:szCs w:val="32"/>
        </w:rPr>
        <w:t>本办法适用于济南新旧动能转换起步区直管区内政务云的使用管理、运维、服务等活动。</w:t>
      </w:r>
    </w:p>
    <w:p w14:paraId="47DE0702">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第四条</w:t>
      </w:r>
      <w:r>
        <w:rPr>
          <w:rFonts w:hint="eastAsia" w:eastAsia="仿宋_GB2312"/>
          <w:sz w:val="32"/>
          <w:szCs w:val="32"/>
          <w:lang w:val="en-US" w:eastAsia="zh-CN"/>
        </w:rPr>
        <w:t xml:space="preserve">  </w:t>
      </w:r>
      <w:r>
        <w:rPr>
          <w:rFonts w:hint="eastAsia" w:eastAsia="仿宋_GB2312"/>
          <w:sz w:val="32"/>
          <w:szCs w:val="32"/>
        </w:rPr>
        <w:t>政务云按照“统筹集约、协同高效、安全可靠”的原则使用管理。按照国家、省、市相关政策和发展规划要求统筹集约开展，在全市一体化政务云体系下，</w:t>
      </w:r>
      <w:r>
        <w:rPr>
          <w:rFonts w:eastAsia="仿宋_GB2312"/>
          <w:sz w:val="32"/>
          <w:szCs w:val="32"/>
        </w:rPr>
        <w:t>规范</w:t>
      </w:r>
      <w:r>
        <w:rPr>
          <w:rFonts w:hint="eastAsia" w:eastAsia="仿宋_GB2312"/>
          <w:sz w:val="32"/>
          <w:szCs w:val="32"/>
        </w:rPr>
        <w:t>全区政务云</w:t>
      </w:r>
      <w:r>
        <w:rPr>
          <w:rFonts w:eastAsia="仿宋_GB2312"/>
          <w:sz w:val="32"/>
          <w:szCs w:val="32"/>
        </w:rPr>
        <w:t>的</w:t>
      </w:r>
      <w:r>
        <w:rPr>
          <w:rFonts w:hint="eastAsia" w:eastAsia="仿宋_GB2312"/>
          <w:sz w:val="32"/>
          <w:szCs w:val="32"/>
        </w:rPr>
        <w:t>使用管理。</w:t>
      </w:r>
    </w:p>
    <w:p w14:paraId="03D6A694">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第五条</w:t>
      </w:r>
      <w:r>
        <w:rPr>
          <w:rFonts w:hint="eastAsia" w:eastAsia="仿宋_GB2312"/>
          <w:sz w:val="32"/>
          <w:szCs w:val="32"/>
          <w:lang w:val="en-US" w:eastAsia="zh-CN"/>
        </w:rPr>
        <w:t xml:space="preserve">  </w:t>
      </w:r>
      <w:r>
        <w:rPr>
          <w:rFonts w:hint="eastAsia" w:eastAsia="仿宋_GB2312"/>
          <w:color w:val="auto"/>
          <w:sz w:val="32"/>
          <w:szCs w:val="32"/>
          <w:highlight w:val="none"/>
        </w:rPr>
        <w:t>已有的信息系统应迁移到政务云平台运行</w:t>
      </w:r>
      <w:r>
        <w:rPr>
          <w:rFonts w:hint="eastAsia" w:eastAsia="仿宋_GB2312"/>
          <w:color w:val="auto"/>
          <w:sz w:val="32"/>
          <w:szCs w:val="32"/>
          <w:highlight w:val="none"/>
          <w:lang w:eastAsia="zh-CN"/>
        </w:rPr>
        <w:t>，</w:t>
      </w:r>
      <w:r>
        <w:rPr>
          <w:rFonts w:hint="eastAsia" w:eastAsia="仿宋_GB2312"/>
          <w:sz w:val="32"/>
          <w:szCs w:val="32"/>
        </w:rPr>
        <w:t>使用财政资金或由管委会授权的国有平台公司自筹资金新建和改扩建的非涉密政务信息系统，使用社会资金建设用于部门履职的非涉密政务信息系统均应依托政务云建设，法律法规和政策有明确规定不宜上云的除外。不符合数字政府和新型智慧城市建设规划、不符合数据共享要求的非涉密政务信息系统原则上不予上云。</w:t>
      </w:r>
    </w:p>
    <w:p w14:paraId="308D5AE4">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第六条</w:t>
      </w:r>
      <w:r>
        <w:rPr>
          <w:rFonts w:hint="eastAsia" w:eastAsia="仿宋_GB2312"/>
          <w:sz w:val="32"/>
          <w:szCs w:val="32"/>
          <w:lang w:val="en-US" w:eastAsia="zh-CN"/>
        </w:rPr>
        <w:t xml:space="preserve">  </w:t>
      </w:r>
      <w:r>
        <w:rPr>
          <w:rFonts w:hint="eastAsia" w:eastAsia="仿宋_GB2312"/>
          <w:sz w:val="32"/>
          <w:szCs w:val="32"/>
        </w:rPr>
        <w:t>云资源使用费，按照</w:t>
      </w:r>
      <w:r>
        <w:rPr>
          <w:rFonts w:eastAsia="仿宋_GB2312"/>
          <w:sz w:val="32"/>
          <w:szCs w:val="32"/>
        </w:rPr>
        <w:t>济南市</w:t>
      </w:r>
      <w:r>
        <w:rPr>
          <w:rFonts w:hint="eastAsia" w:eastAsia="仿宋_GB2312"/>
          <w:sz w:val="32"/>
          <w:szCs w:val="32"/>
        </w:rPr>
        <w:t xml:space="preserve">政务云服务采购价，纳入财政预算予以保障。  </w:t>
      </w:r>
    </w:p>
    <w:p w14:paraId="3B0348BF">
      <w:pPr>
        <w:pStyle w:val="12"/>
        <w:keepLines w:val="0"/>
        <w:pageBreakBefore w:val="0"/>
        <w:widowControl/>
        <w:wordWrap/>
        <w:topLinePunct w:val="0"/>
        <w:bidi w:val="0"/>
        <w:spacing w:before="0" w:beforeAutospacing="0" w:after="0" w:afterAutospacing="0" w:line="579" w:lineRule="exact"/>
        <w:ind w:firstLine="640" w:firstLineChars="200"/>
        <w:textAlignment w:val="auto"/>
        <w:rPr>
          <w:rFonts w:hint="eastAsia" w:eastAsia="仿宋_GB2312"/>
          <w:sz w:val="32"/>
          <w:szCs w:val="32"/>
        </w:rPr>
      </w:pPr>
    </w:p>
    <w:p w14:paraId="12C50CAD">
      <w:pPr>
        <w:pStyle w:val="12"/>
        <w:keepNext w:val="0"/>
        <w:keepLines w:val="0"/>
        <w:pageBreakBefore w:val="0"/>
        <w:widowControl/>
        <w:kinsoku/>
        <w:wordWrap/>
        <w:overflowPunct/>
        <w:topLinePunct w:val="0"/>
        <w:autoSpaceDE/>
        <w:autoSpaceDN/>
        <w:bidi w:val="0"/>
        <w:adjustRightInd/>
        <w:snapToGrid/>
        <w:spacing w:before="0" w:beforeAutospacing="0" w:after="313" w:afterLines="100" w:afterAutospacing="0" w:line="579" w:lineRule="exact"/>
        <w:ind w:firstLine="42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职责分工</w:t>
      </w:r>
    </w:p>
    <w:p w14:paraId="68C4561F">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第七条</w:t>
      </w:r>
      <w:r>
        <w:rPr>
          <w:rFonts w:hint="eastAsia" w:eastAsia="仿宋_GB2312"/>
          <w:sz w:val="32"/>
          <w:szCs w:val="32"/>
          <w:lang w:eastAsia="zh-CN"/>
        </w:rPr>
        <w:t xml:space="preserve">  </w:t>
      </w:r>
      <w:r>
        <w:rPr>
          <w:rFonts w:hint="eastAsia" w:eastAsia="仿宋_GB2312"/>
          <w:sz w:val="32"/>
          <w:szCs w:val="32"/>
        </w:rPr>
        <w:t>数字城市部是政务云主管部门，负责政务云的统筹管理、招标采购、费用结算及监督评价等工作，负责政务云资源审核、开通、上线、变更、退出，制定政务云相关标准体系和管理制度，指导监督本级政务云的网络安全防护，推动各部门</w:t>
      </w:r>
      <w:r>
        <w:rPr>
          <w:rFonts w:hint="eastAsia" w:eastAsia="仿宋_GB2312"/>
          <w:sz w:val="32"/>
          <w:szCs w:val="32"/>
          <w:lang w:eastAsia="zh-CN"/>
        </w:rPr>
        <w:t>（</w:t>
      </w:r>
      <w:r>
        <w:rPr>
          <w:rFonts w:hint="eastAsia" w:eastAsia="仿宋_GB2312"/>
          <w:sz w:val="32"/>
          <w:szCs w:val="32"/>
          <w:lang w:val="en-US" w:eastAsia="zh-CN"/>
        </w:rPr>
        <w:t>单位）</w:t>
      </w:r>
      <w:r>
        <w:rPr>
          <w:rFonts w:hint="eastAsia" w:eastAsia="仿宋_GB2312"/>
          <w:sz w:val="32"/>
          <w:szCs w:val="32"/>
        </w:rPr>
        <w:t>政务信息系统部署、迁移上云。</w:t>
      </w:r>
    </w:p>
    <w:p w14:paraId="1B941B2D">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lang w:eastAsia="zh-CN"/>
        </w:rPr>
      </w:pPr>
      <w:r>
        <w:rPr>
          <w:rFonts w:hint="eastAsia" w:ascii="黑体" w:hAnsi="黑体" w:eastAsia="黑体" w:cs="黑体"/>
          <w:sz w:val="32"/>
          <w:szCs w:val="32"/>
        </w:rPr>
        <w:t>第八条</w:t>
      </w:r>
      <w:r>
        <w:rPr>
          <w:rFonts w:hint="eastAsia" w:eastAsia="仿宋_GB2312"/>
          <w:sz w:val="32"/>
          <w:szCs w:val="32"/>
          <w:lang w:eastAsia="zh-CN"/>
        </w:rPr>
        <w:t xml:space="preserve"> </w:t>
      </w:r>
      <w:r>
        <w:rPr>
          <w:rFonts w:hint="eastAsia" w:eastAsia="仿宋_GB2312"/>
          <w:sz w:val="32"/>
          <w:szCs w:val="32"/>
        </w:rPr>
        <w:t xml:space="preserve"> 政务云服务使用单位（以下简称使用单位）根据本单位政务信息系统建设需要，向数字城市部申请云资源服务，并负责本单位应用系统开发测试、迁移部署、运行维护、监控管理、安全管理等工作，配合完成政务云安全检查、应急演练、统计评价等工作。</w:t>
      </w:r>
      <w:r>
        <w:rPr>
          <w:rFonts w:hint="eastAsia" w:eastAsia="仿宋_GB2312"/>
          <w:sz w:val="32"/>
          <w:szCs w:val="32"/>
          <w:lang w:eastAsia="zh-CN"/>
        </w:rPr>
        <w:t xml:space="preserve">  </w:t>
      </w:r>
    </w:p>
    <w:p w14:paraId="675CAD8E">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第九条</w:t>
      </w:r>
      <w:r>
        <w:rPr>
          <w:rFonts w:hint="eastAsia" w:eastAsia="仿宋_GB2312"/>
          <w:sz w:val="32"/>
          <w:szCs w:val="32"/>
          <w:lang w:eastAsia="zh-CN"/>
        </w:rPr>
        <w:t xml:space="preserve">  </w:t>
      </w:r>
      <w:r>
        <w:rPr>
          <w:rFonts w:hint="eastAsia" w:eastAsia="仿宋_GB2312"/>
          <w:sz w:val="32"/>
          <w:szCs w:val="32"/>
        </w:rPr>
        <w:t>网信、公安等部门根据各自职能负责监督管理政务云的安全工作。</w:t>
      </w:r>
    </w:p>
    <w:p w14:paraId="29D9F01F">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第十条</w:t>
      </w:r>
      <w:r>
        <w:rPr>
          <w:rFonts w:hint="eastAsia" w:eastAsia="仿宋_GB2312"/>
          <w:sz w:val="32"/>
          <w:szCs w:val="32"/>
          <w:lang w:eastAsia="zh-CN"/>
        </w:rPr>
        <w:t xml:space="preserve">  </w:t>
      </w:r>
      <w:r>
        <w:rPr>
          <w:rFonts w:hint="eastAsia" w:eastAsia="仿宋_GB2312"/>
          <w:sz w:val="32"/>
          <w:szCs w:val="32"/>
        </w:rPr>
        <w:t>由数字城市部组织云服务商负责政务云的建设、运行维护和安全保障，并开展服务质量评价、服务目录修订、安全</w:t>
      </w:r>
    </w:p>
    <w:p w14:paraId="2215789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both"/>
        <w:textAlignment w:val="auto"/>
        <w:rPr>
          <w:rFonts w:hint="eastAsia" w:eastAsia="仿宋_GB2312"/>
          <w:sz w:val="32"/>
          <w:szCs w:val="32"/>
        </w:rPr>
      </w:pPr>
      <w:r>
        <w:rPr>
          <w:rFonts w:hint="eastAsia" w:eastAsia="仿宋_GB2312"/>
          <w:sz w:val="32"/>
          <w:szCs w:val="32"/>
        </w:rPr>
        <w:t>检查和政务云资源开通、变更、退出等工作，配合政务云使用单位完成政务信息系统的部署、迁移、迁出等工作。</w:t>
      </w:r>
    </w:p>
    <w:p w14:paraId="49140B46">
      <w:pPr>
        <w:pStyle w:val="12"/>
        <w:keepLines w:val="0"/>
        <w:pageBreakBefore w:val="0"/>
        <w:widowControl/>
        <w:wordWrap/>
        <w:topLinePunct w:val="0"/>
        <w:bidi w:val="0"/>
        <w:spacing w:before="0" w:beforeAutospacing="0" w:after="0" w:afterAutospacing="0" w:line="579" w:lineRule="exact"/>
        <w:ind w:firstLine="640" w:firstLineChars="200"/>
        <w:textAlignment w:val="auto"/>
        <w:rPr>
          <w:rFonts w:hint="eastAsia" w:eastAsia="仿宋_GB2312"/>
          <w:sz w:val="32"/>
          <w:szCs w:val="32"/>
        </w:rPr>
      </w:pPr>
    </w:p>
    <w:p w14:paraId="0C602981">
      <w:pPr>
        <w:pStyle w:val="12"/>
        <w:keepNext w:val="0"/>
        <w:keepLines w:val="0"/>
        <w:pageBreakBefore w:val="0"/>
        <w:widowControl/>
        <w:kinsoku/>
        <w:wordWrap/>
        <w:overflowPunct/>
        <w:topLinePunct w:val="0"/>
        <w:autoSpaceDE/>
        <w:autoSpaceDN/>
        <w:bidi w:val="0"/>
        <w:adjustRightInd/>
        <w:snapToGrid/>
        <w:spacing w:before="0" w:beforeAutospacing="0" w:after="313" w:afterLines="100" w:afterAutospacing="0" w:line="579" w:lineRule="exact"/>
        <w:ind w:firstLine="42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使用管理</w:t>
      </w:r>
    </w:p>
    <w:p w14:paraId="3548244B">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第十一条</w:t>
      </w:r>
      <w:r>
        <w:rPr>
          <w:rFonts w:hint="eastAsia" w:eastAsia="仿宋_GB2312"/>
          <w:sz w:val="32"/>
          <w:szCs w:val="32"/>
          <w:lang w:eastAsia="zh-CN"/>
        </w:rPr>
        <w:t xml:space="preserve">  </w:t>
      </w:r>
      <w:r>
        <w:rPr>
          <w:rFonts w:hint="eastAsia" w:eastAsia="仿宋_GB2312"/>
          <w:sz w:val="32"/>
          <w:szCs w:val="32"/>
        </w:rPr>
        <w:t>政务云的使用包含申请、审核、开通、上线、变更和退出等环节。</w:t>
      </w:r>
    </w:p>
    <w:p w14:paraId="5930519B">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第十二条</w:t>
      </w:r>
      <w:r>
        <w:rPr>
          <w:rFonts w:hint="eastAsia" w:eastAsia="仿宋_GB2312"/>
          <w:sz w:val="32"/>
          <w:szCs w:val="32"/>
          <w:lang w:eastAsia="zh-CN"/>
        </w:rPr>
        <w:t xml:space="preserve">  </w:t>
      </w:r>
      <w:r>
        <w:rPr>
          <w:rFonts w:hint="eastAsia" w:eastAsia="仿宋_GB2312"/>
          <w:sz w:val="32"/>
          <w:szCs w:val="32"/>
        </w:rPr>
        <w:t>政务信息系统使用单位应按照“</w:t>
      </w:r>
      <w:bookmarkStart w:id="0" w:name="_Hlk183796770"/>
      <w:r>
        <w:rPr>
          <w:rFonts w:hint="eastAsia" w:eastAsia="仿宋_GB2312"/>
          <w:sz w:val="32"/>
          <w:szCs w:val="32"/>
        </w:rPr>
        <w:t>够用即可、适度超前</w:t>
      </w:r>
      <w:bookmarkEnd w:id="0"/>
      <w:r>
        <w:rPr>
          <w:rFonts w:hint="eastAsia" w:eastAsia="仿宋_GB2312"/>
          <w:sz w:val="32"/>
          <w:szCs w:val="32"/>
        </w:rPr>
        <w:t>”的原则，向数字城市部提出云资源使用申请，并提交以下申请材料：</w:t>
      </w:r>
    </w:p>
    <w:p w14:paraId="6D07F5DA">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lang w:eastAsia="zh-CN"/>
        </w:rPr>
      </w:pPr>
      <w:r>
        <w:rPr>
          <w:rFonts w:hint="eastAsia" w:eastAsia="仿宋_GB2312"/>
          <w:sz w:val="32"/>
          <w:szCs w:val="32"/>
        </w:rPr>
        <w:t>（一）云资源申请</w:t>
      </w:r>
      <w:r>
        <w:rPr>
          <w:rFonts w:hint="eastAsia" w:eastAsia="仿宋_GB2312"/>
          <w:sz w:val="32"/>
          <w:szCs w:val="32"/>
          <w:lang w:val="en-US" w:eastAsia="zh-CN"/>
        </w:rPr>
        <w:t>函，附</w:t>
      </w:r>
      <w:r>
        <w:rPr>
          <w:rFonts w:hint="eastAsia" w:eastAsia="仿宋_GB2312"/>
          <w:sz w:val="32"/>
          <w:szCs w:val="32"/>
        </w:rPr>
        <w:t>济南政务云计算中心云服务资源需求表</w:t>
      </w:r>
      <w:r>
        <w:rPr>
          <w:rFonts w:hint="eastAsia" w:eastAsia="仿宋_GB2312"/>
          <w:sz w:val="32"/>
          <w:szCs w:val="32"/>
          <w:lang w:eastAsia="zh-CN"/>
        </w:rPr>
        <w:t>（</w:t>
      </w:r>
      <w:r>
        <w:rPr>
          <w:rFonts w:hint="eastAsia" w:eastAsia="仿宋_GB2312"/>
          <w:sz w:val="32"/>
          <w:szCs w:val="32"/>
        </w:rPr>
        <w:t>政务云服务资源需求清单参照济南市政务云服务目录确定）（附件</w:t>
      </w:r>
      <w:r>
        <w:rPr>
          <w:rFonts w:hint="eastAsia" w:ascii="仿宋_GB2312" w:hAnsi="仿宋_GB2312" w:eastAsia="仿宋_GB2312" w:cs="仿宋_GB2312"/>
          <w:sz w:val="32"/>
          <w:szCs w:val="32"/>
          <w:lang w:val="en-US" w:eastAsia="zh-CN"/>
        </w:rPr>
        <w:t>1</w:t>
      </w:r>
      <w:r>
        <w:rPr>
          <w:rFonts w:hint="eastAsia" w:eastAsia="仿宋_GB2312"/>
          <w:sz w:val="32"/>
          <w:szCs w:val="32"/>
        </w:rPr>
        <w:t>）</w:t>
      </w:r>
      <w:r>
        <w:rPr>
          <w:rFonts w:hint="eastAsia" w:eastAsia="仿宋_GB2312"/>
          <w:sz w:val="32"/>
          <w:szCs w:val="32"/>
          <w:lang w:eastAsia="zh-CN"/>
        </w:rPr>
        <w:t>；</w:t>
      </w:r>
    </w:p>
    <w:p w14:paraId="49DB9784">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default" w:eastAsia="仿宋_GB2312"/>
          <w:sz w:val="32"/>
          <w:szCs w:val="32"/>
          <w:lang w:val="en-US" w:eastAsia="zh-CN"/>
        </w:rPr>
      </w:pPr>
      <w:r>
        <w:rPr>
          <w:rFonts w:hint="eastAsia" w:eastAsia="仿宋_GB2312"/>
          <w:sz w:val="32"/>
          <w:szCs w:val="32"/>
        </w:rPr>
        <w:t>（</w:t>
      </w:r>
      <w:r>
        <w:rPr>
          <w:rFonts w:hint="eastAsia" w:eastAsia="仿宋_GB2312"/>
          <w:sz w:val="32"/>
          <w:szCs w:val="32"/>
          <w:lang w:val="en-US" w:eastAsia="zh-CN"/>
        </w:rPr>
        <w:t>二</w:t>
      </w:r>
      <w:r>
        <w:rPr>
          <w:rFonts w:hint="eastAsia" w:eastAsia="仿宋_GB2312"/>
          <w:sz w:val="32"/>
          <w:szCs w:val="32"/>
        </w:rPr>
        <w:t>）项目批复文件、建设方案、系统安全评估、采购合同</w:t>
      </w:r>
      <w:r>
        <w:rPr>
          <w:rFonts w:hint="eastAsia" w:eastAsia="仿宋_GB2312"/>
          <w:sz w:val="32"/>
          <w:szCs w:val="32"/>
          <w:lang w:eastAsia="zh-CN"/>
        </w:rPr>
        <w:t>；</w:t>
      </w:r>
    </w:p>
    <w:p w14:paraId="724C6F7F">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default" w:eastAsia="仿宋_GB2312"/>
          <w:sz w:val="32"/>
          <w:szCs w:val="32"/>
          <w:lang w:val="en-US" w:eastAsia="zh-CN"/>
        </w:rPr>
      </w:pPr>
      <w:r>
        <w:rPr>
          <w:rFonts w:hint="eastAsia" w:eastAsia="仿宋_GB2312"/>
          <w:sz w:val="32"/>
          <w:szCs w:val="32"/>
        </w:rPr>
        <w:t>（</w:t>
      </w:r>
      <w:r>
        <w:rPr>
          <w:rFonts w:hint="eastAsia" w:eastAsia="仿宋_GB2312"/>
          <w:sz w:val="32"/>
          <w:szCs w:val="32"/>
          <w:lang w:val="en-US" w:eastAsia="zh-CN"/>
        </w:rPr>
        <w:t>三</w:t>
      </w:r>
      <w:r>
        <w:rPr>
          <w:rFonts w:hint="eastAsia" w:eastAsia="仿宋_GB2312"/>
          <w:sz w:val="32"/>
          <w:szCs w:val="32"/>
        </w:rPr>
        <w:t>）其他</w:t>
      </w:r>
      <w:r>
        <w:rPr>
          <w:rFonts w:hint="eastAsia" w:eastAsia="仿宋_GB2312"/>
          <w:sz w:val="32"/>
          <w:szCs w:val="32"/>
          <w:lang w:val="en-US" w:eastAsia="zh-CN"/>
        </w:rPr>
        <w:t>按照省市有关要求需提交的有关材料；</w:t>
      </w:r>
    </w:p>
    <w:p w14:paraId="7C077FB9">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highlight w:val="none"/>
          <w:lang w:eastAsia="zh-CN"/>
        </w:rPr>
      </w:pPr>
      <w:r>
        <w:rPr>
          <w:rFonts w:hint="eastAsia" w:eastAsia="仿宋_GB2312"/>
          <w:sz w:val="32"/>
          <w:szCs w:val="32"/>
        </w:rPr>
        <w:t>本办法施行前，原上云系统不符合网络安全等级保护定级备案、安全测评和密码应用安全性评估、软件测评等要求的</w:t>
      </w:r>
      <w:r>
        <w:rPr>
          <w:rFonts w:hint="eastAsia" w:eastAsia="仿宋_GB2312"/>
          <w:sz w:val="32"/>
          <w:szCs w:val="32"/>
          <w:highlight w:val="none"/>
        </w:rPr>
        <w:t>，应在</w:t>
      </w:r>
      <w:r>
        <w:rPr>
          <w:rFonts w:hint="eastAsia" w:ascii="仿宋_GB2312" w:hAnsi="仿宋_GB2312" w:eastAsia="仿宋_GB2312" w:cs="仿宋_GB2312"/>
          <w:sz w:val="32"/>
          <w:szCs w:val="32"/>
          <w:highlight w:val="none"/>
        </w:rPr>
        <w:t>2025</w:t>
      </w:r>
      <w:r>
        <w:rPr>
          <w:rFonts w:hint="eastAsia" w:eastAsia="仿宋_GB2312"/>
          <w:sz w:val="32"/>
          <w:szCs w:val="32"/>
          <w:highlight w:val="none"/>
        </w:rPr>
        <w:t>年年</w:t>
      </w:r>
      <w:r>
        <w:rPr>
          <w:rFonts w:hint="eastAsia" w:eastAsia="仿宋_GB2312"/>
          <w:sz w:val="32"/>
          <w:szCs w:val="32"/>
          <w:highlight w:val="none"/>
          <w:lang w:val="en-US" w:eastAsia="zh-CN"/>
        </w:rPr>
        <w:t>底</w:t>
      </w:r>
      <w:r>
        <w:rPr>
          <w:rFonts w:hint="eastAsia" w:eastAsia="仿宋_GB2312"/>
          <w:sz w:val="32"/>
          <w:szCs w:val="32"/>
          <w:highlight w:val="none"/>
        </w:rPr>
        <w:t>前完成改造，并补充相关材料</w:t>
      </w:r>
      <w:r>
        <w:rPr>
          <w:rFonts w:hint="eastAsia" w:eastAsia="仿宋_GB2312"/>
          <w:sz w:val="32"/>
          <w:szCs w:val="32"/>
          <w:highlight w:val="none"/>
          <w:lang w:eastAsia="zh-CN"/>
        </w:rPr>
        <w:t>；</w:t>
      </w:r>
      <w:r>
        <w:rPr>
          <w:rFonts w:hint="eastAsia" w:eastAsia="仿宋_GB2312"/>
          <w:sz w:val="32"/>
          <w:szCs w:val="32"/>
          <w:highlight w:val="none"/>
        </w:rPr>
        <w:t>不符合信息技术应用创新</w:t>
      </w:r>
      <w:r>
        <w:rPr>
          <w:rFonts w:hint="eastAsia" w:eastAsia="仿宋_GB2312"/>
          <w:sz w:val="32"/>
          <w:szCs w:val="32"/>
          <w:highlight w:val="none"/>
          <w:lang w:val="en-US" w:eastAsia="zh-CN"/>
        </w:rPr>
        <w:t>要求的，应在</w:t>
      </w:r>
      <w:r>
        <w:rPr>
          <w:rFonts w:hint="eastAsia" w:ascii="仿宋_GB2312" w:hAnsi="仿宋_GB2312" w:eastAsia="仿宋_GB2312" w:cs="仿宋_GB2312"/>
          <w:sz w:val="32"/>
          <w:szCs w:val="32"/>
          <w:highlight w:val="none"/>
          <w:lang w:val="en-US" w:eastAsia="zh-CN"/>
        </w:rPr>
        <w:t>2026</w:t>
      </w:r>
      <w:r>
        <w:rPr>
          <w:rFonts w:hint="eastAsia" w:eastAsia="仿宋_GB2312"/>
          <w:sz w:val="32"/>
          <w:szCs w:val="32"/>
          <w:highlight w:val="none"/>
          <w:lang w:val="en-US" w:eastAsia="zh-CN"/>
        </w:rPr>
        <w:t>年</w:t>
      </w:r>
      <w:r>
        <w:rPr>
          <w:rFonts w:hint="eastAsia" w:eastAsia="仿宋_GB2312"/>
          <w:sz w:val="32"/>
          <w:szCs w:val="32"/>
          <w:highlight w:val="none"/>
        </w:rPr>
        <w:t>年</w:t>
      </w:r>
      <w:r>
        <w:rPr>
          <w:rFonts w:hint="eastAsia" w:eastAsia="仿宋_GB2312"/>
          <w:sz w:val="32"/>
          <w:szCs w:val="32"/>
          <w:highlight w:val="none"/>
          <w:lang w:val="en-US" w:eastAsia="zh-CN"/>
        </w:rPr>
        <w:t>底</w:t>
      </w:r>
      <w:r>
        <w:rPr>
          <w:rFonts w:hint="eastAsia" w:eastAsia="仿宋_GB2312"/>
          <w:sz w:val="32"/>
          <w:szCs w:val="32"/>
          <w:highlight w:val="none"/>
        </w:rPr>
        <w:t>前完成改造，并补充相关材料</w:t>
      </w:r>
      <w:r>
        <w:rPr>
          <w:rFonts w:hint="eastAsia" w:eastAsia="仿宋_GB2312"/>
          <w:sz w:val="32"/>
          <w:szCs w:val="32"/>
          <w:highlight w:val="none"/>
          <w:lang w:eastAsia="zh-CN"/>
        </w:rPr>
        <w:t>。</w:t>
      </w:r>
    </w:p>
    <w:p w14:paraId="13BB3CD7">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第十三条</w:t>
      </w:r>
      <w:r>
        <w:rPr>
          <w:rFonts w:hint="eastAsia" w:eastAsia="仿宋_GB2312"/>
          <w:sz w:val="32"/>
          <w:szCs w:val="32"/>
          <w:lang w:eastAsia="zh-CN"/>
        </w:rPr>
        <w:t xml:space="preserve">  </w:t>
      </w:r>
      <w:r>
        <w:rPr>
          <w:rFonts w:hint="eastAsia" w:eastAsia="仿宋_GB2312"/>
          <w:sz w:val="32"/>
          <w:szCs w:val="32"/>
        </w:rPr>
        <w:t>数字城市部依据政务云使用单位提交的申请材料，研究确定云资源需求的合理性，提出审核意见；项目复杂或云资源使用量需要评估的，可组织专业机构进行论证评审，其评审意见作为迁移上云和使用云资源的主要依据。</w:t>
      </w:r>
    </w:p>
    <w:p w14:paraId="4621B9F1">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eastAsia="仿宋_GB2312"/>
          <w:sz w:val="32"/>
          <w:szCs w:val="32"/>
        </w:rPr>
        <w:t>突发情况和紧急事项，由数字城市部组织云服务商紧急开通相关云服务，使用单位应在紧急开通后</w:t>
      </w:r>
      <w:r>
        <w:rPr>
          <w:rFonts w:hint="eastAsia" w:ascii="仿宋_GB2312" w:hAnsi="仿宋_GB2312" w:eastAsia="仿宋_GB2312" w:cs="仿宋_GB2312"/>
          <w:sz w:val="32"/>
          <w:szCs w:val="32"/>
        </w:rPr>
        <w:t>10</w:t>
      </w:r>
      <w:r>
        <w:rPr>
          <w:rFonts w:hint="eastAsia" w:eastAsia="仿宋_GB2312"/>
          <w:sz w:val="32"/>
          <w:szCs w:val="32"/>
        </w:rPr>
        <w:t>个工作日内按照云资源使用流程补齐相关手续。</w:t>
      </w:r>
    </w:p>
    <w:p w14:paraId="3F6ED2A3">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第十四条</w:t>
      </w:r>
      <w:r>
        <w:rPr>
          <w:rFonts w:hint="eastAsia" w:eastAsia="仿宋_GB2312"/>
          <w:strike w:val="0"/>
          <w:dstrike w:val="0"/>
          <w:sz w:val="32"/>
          <w:szCs w:val="32"/>
          <w:highlight w:val="none"/>
          <w:lang w:eastAsia="zh-CN"/>
        </w:rPr>
        <w:t xml:space="preserve">  </w:t>
      </w:r>
      <w:r>
        <w:rPr>
          <w:rFonts w:hint="eastAsia" w:eastAsia="仿宋_GB2312"/>
          <w:strike w:val="0"/>
          <w:dstrike w:val="0"/>
          <w:sz w:val="32"/>
          <w:szCs w:val="32"/>
          <w:highlight w:val="none"/>
        </w:rPr>
        <w:t>数字城市部组织云服务商严格按照评审意见</w:t>
      </w:r>
      <w:r>
        <w:rPr>
          <w:rFonts w:hint="eastAsia" w:eastAsia="仿宋_GB2312"/>
          <w:sz w:val="32"/>
          <w:szCs w:val="32"/>
        </w:rPr>
        <w:t>完成资源开通，并书面函告使用单位</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）。涉及设备外采或扩容等特殊需求情况的，使用单位报数字城市部同意</w:t>
      </w:r>
      <w:r>
        <w:rPr>
          <w:rFonts w:hint="eastAsia" w:eastAsia="仿宋_GB2312"/>
          <w:sz w:val="32"/>
          <w:szCs w:val="32"/>
        </w:rPr>
        <w:t>后，与云服务商另行协商完成采购、部署和资源发放等。</w:t>
      </w:r>
    </w:p>
    <w:p w14:paraId="0D97A980">
      <w:pPr>
        <w:pStyle w:val="12"/>
        <w:keepLines w:val="0"/>
        <w:pageBreakBefore w:val="0"/>
        <w:widowControl/>
        <w:wordWrap/>
        <w:topLinePunct w:val="0"/>
        <w:bidi w:val="0"/>
        <w:spacing w:before="0" w:beforeAutospacing="0" w:after="0" w:afterAutospacing="0" w:line="579" w:lineRule="exact"/>
        <w:jc w:val="both"/>
        <w:textAlignment w:val="auto"/>
        <w:rPr>
          <w:rFonts w:hint="eastAsia" w:eastAsia="仿宋_GB2312"/>
          <w:sz w:val="32"/>
          <w:szCs w:val="32"/>
        </w:rPr>
      </w:pPr>
      <w:r>
        <w:rPr>
          <w:rFonts w:hint="eastAsia" w:eastAsia="仿宋_GB2312"/>
          <w:sz w:val="32"/>
          <w:szCs w:val="32"/>
        </w:rPr>
        <w:t xml:space="preserve">    </w:t>
      </w:r>
      <w:r>
        <w:rPr>
          <w:rFonts w:hint="eastAsia" w:ascii="黑体" w:hAnsi="黑体" w:eastAsia="黑体" w:cs="黑体"/>
          <w:sz w:val="32"/>
          <w:szCs w:val="32"/>
        </w:rPr>
        <w:t>第十五条</w:t>
      </w:r>
      <w:bookmarkStart w:id="1" w:name="_Hlk183797736"/>
      <w:r>
        <w:rPr>
          <w:rFonts w:hint="eastAsia" w:eastAsia="仿宋_GB2312"/>
          <w:sz w:val="32"/>
          <w:szCs w:val="32"/>
          <w:lang w:eastAsia="zh-CN"/>
        </w:rPr>
        <w:t xml:space="preserve">  </w:t>
      </w:r>
      <w:r>
        <w:rPr>
          <w:rFonts w:hint="eastAsia" w:eastAsia="仿宋_GB2312"/>
          <w:sz w:val="32"/>
          <w:szCs w:val="32"/>
        </w:rPr>
        <w:t>自云资源发放日起，试运行时间为</w:t>
      </w:r>
      <w:r>
        <w:rPr>
          <w:rFonts w:hint="eastAsia" w:ascii="仿宋_GB2312" w:hAnsi="仿宋_GB2312" w:eastAsia="仿宋_GB2312" w:cs="仿宋_GB2312"/>
          <w:sz w:val="32"/>
          <w:szCs w:val="32"/>
        </w:rPr>
        <w:t>30</w:t>
      </w:r>
      <w:r>
        <w:rPr>
          <w:rFonts w:hint="eastAsia" w:eastAsia="仿宋_GB2312"/>
          <w:sz w:val="32"/>
          <w:szCs w:val="32"/>
        </w:rPr>
        <w:t>天。使用单位应在试运行期内尽快完成系统上线部署、资源测试、系统测试、试运行等工作，并配合数字城市部安装资源探测相关组件。逾期未使用的，收回资源，暂停该单位后续云资源申请工作。</w:t>
      </w:r>
      <w:bookmarkEnd w:id="1"/>
      <w:r>
        <w:rPr>
          <w:rFonts w:hint="eastAsia" w:eastAsia="仿宋_GB2312"/>
          <w:sz w:val="32"/>
          <w:szCs w:val="32"/>
        </w:rPr>
        <w:cr/>
      </w:r>
      <w:r>
        <w:rPr>
          <w:rFonts w:hint="eastAsia" w:eastAsia="仿宋_GB2312"/>
          <w:sz w:val="32"/>
          <w:szCs w:val="32"/>
        </w:rPr>
        <w:t xml:space="preserve">    </w:t>
      </w:r>
      <w:r>
        <w:rPr>
          <w:rFonts w:hint="eastAsia" w:ascii="黑体" w:hAnsi="黑体" w:eastAsia="黑体" w:cs="黑体"/>
          <w:sz w:val="32"/>
          <w:szCs w:val="32"/>
        </w:rPr>
        <w:t>第十六条</w:t>
      </w:r>
      <w:r>
        <w:rPr>
          <w:rFonts w:hint="eastAsia" w:eastAsia="仿宋_GB2312"/>
          <w:sz w:val="32"/>
          <w:szCs w:val="32"/>
          <w:lang w:eastAsia="zh-CN"/>
        </w:rPr>
        <w:t xml:space="preserve">  </w:t>
      </w:r>
      <w:r>
        <w:rPr>
          <w:rFonts w:hint="eastAsia" w:eastAsia="仿宋_GB2312"/>
          <w:sz w:val="32"/>
          <w:szCs w:val="32"/>
        </w:rPr>
        <w:t>试运行结束后，由使用单位根据试运行情况进行资源交付确认（附件</w:t>
      </w:r>
      <w:r>
        <w:rPr>
          <w:rFonts w:hint="eastAsia" w:ascii="仿宋_GB2312" w:hAnsi="仿宋_GB2312" w:eastAsia="仿宋_GB2312" w:cs="仿宋_GB2312"/>
          <w:sz w:val="32"/>
          <w:szCs w:val="32"/>
          <w:lang w:val="en-US" w:eastAsia="zh-CN"/>
        </w:rPr>
        <w:t>2</w:t>
      </w:r>
      <w:r>
        <w:rPr>
          <w:rFonts w:hint="eastAsia" w:eastAsia="仿宋_GB2312"/>
          <w:sz w:val="32"/>
          <w:szCs w:val="32"/>
        </w:rPr>
        <w:t>）。试运行期满进入正式运行阶段，开始计费。</w:t>
      </w:r>
      <w:r>
        <w:rPr>
          <w:rFonts w:hint="eastAsia" w:eastAsia="仿宋_GB2312"/>
          <w:sz w:val="32"/>
          <w:szCs w:val="32"/>
        </w:rPr>
        <w:cr/>
      </w:r>
      <w:r>
        <w:rPr>
          <w:rFonts w:hint="eastAsia" w:eastAsia="仿宋_GB2312"/>
          <w:sz w:val="32"/>
          <w:szCs w:val="32"/>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正式运行过程中，使用单位要求调整云资源配置的，须向数字城市部提交变更申请（附件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），数字城市部在10个工作日内完成变更审核。审核通过的，数字城市部组织云服务商完成调整。已分配云资源的项目，新增加服务品类或数量的，按云资源申请流程审批。</w:t>
      </w:r>
    </w:p>
    <w:p w14:paraId="3238D84D">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第十八条</w:t>
      </w:r>
      <w:r>
        <w:rPr>
          <w:rFonts w:hint="eastAsia" w:eastAsia="仿宋_GB2312"/>
          <w:sz w:val="32"/>
          <w:szCs w:val="32"/>
          <w:lang w:eastAsia="zh-CN"/>
        </w:rPr>
        <w:t xml:space="preserve">  </w:t>
      </w:r>
      <w:r>
        <w:rPr>
          <w:rFonts w:hint="eastAsia" w:eastAsia="仿宋_GB2312"/>
          <w:sz w:val="32"/>
          <w:szCs w:val="32"/>
        </w:rPr>
        <w:t>运行过程中，数字城市部将组织云服务商实时监测政务云运行情况，并定期通报。</w:t>
      </w:r>
      <w:r>
        <w:rPr>
          <w:rFonts w:hint="eastAsia" w:eastAsia="仿宋_GB2312"/>
          <w:sz w:val="32"/>
          <w:szCs w:val="32"/>
          <w:highlight w:val="none"/>
          <w:lang w:val="en-US" w:eastAsia="zh-CN"/>
        </w:rPr>
        <w:t>有</w:t>
      </w:r>
      <w:r>
        <w:rPr>
          <w:rFonts w:hint="eastAsia" w:eastAsia="仿宋_GB2312"/>
          <w:sz w:val="32"/>
          <w:szCs w:val="32"/>
          <w:highlight w:val="none"/>
        </w:rPr>
        <w:t>下列情形</w:t>
      </w:r>
      <w:r>
        <w:rPr>
          <w:rFonts w:hint="eastAsia" w:eastAsia="仿宋_GB2312"/>
          <w:sz w:val="32"/>
          <w:szCs w:val="32"/>
          <w:highlight w:val="none"/>
          <w:lang w:val="en-US" w:eastAsia="zh-CN"/>
        </w:rPr>
        <w:t>之一的</w:t>
      </w:r>
      <w:r>
        <w:rPr>
          <w:rFonts w:hint="eastAsia" w:eastAsia="仿宋_GB2312"/>
          <w:sz w:val="32"/>
          <w:szCs w:val="32"/>
          <w:highlight w:val="none"/>
        </w:rPr>
        <w:t>，</w:t>
      </w:r>
      <w:r>
        <w:rPr>
          <w:rFonts w:hint="eastAsia" w:eastAsia="仿宋_GB2312"/>
          <w:sz w:val="32"/>
          <w:szCs w:val="32"/>
        </w:rPr>
        <w:t>数字城市部将组织专业机构进行评审，提出调整（增或减）</w:t>
      </w:r>
      <w:r>
        <w:rPr>
          <w:rFonts w:hint="eastAsia" w:eastAsia="仿宋_GB2312"/>
          <w:sz w:val="32"/>
          <w:szCs w:val="32"/>
          <w:highlight w:val="none"/>
          <w:lang w:val="en-US" w:eastAsia="zh-CN"/>
        </w:rPr>
        <w:t>方案</w:t>
      </w:r>
      <w:r>
        <w:rPr>
          <w:rFonts w:hint="eastAsia" w:eastAsia="仿宋_GB2312"/>
          <w:sz w:val="32"/>
          <w:szCs w:val="32"/>
        </w:rPr>
        <w:t>，征求相关部门意见后，进行云资源调整。</w:t>
      </w:r>
    </w:p>
    <w:p w14:paraId="09A61AC6">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z w:val="32"/>
          <w:szCs w:val="32"/>
        </w:rPr>
        <w:t>（一）当云资源使用率（CPU、内存、数据盘</w:t>
      </w:r>
      <w:r>
        <w:rPr>
          <w:rFonts w:hint="eastAsia" w:ascii="仿宋_GB2312" w:hAnsi="仿宋_GB2312" w:eastAsia="仿宋_GB2312" w:cs="仿宋_GB2312"/>
          <w:sz w:val="32"/>
          <w:szCs w:val="32"/>
          <w:lang w:val="en-US" w:eastAsia="zh-CN"/>
        </w:rPr>
        <w:t>之一</w:t>
      </w:r>
      <w:r>
        <w:rPr>
          <w:rFonts w:hint="eastAsia" w:ascii="仿宋_GB2312" w:hAnsi="仿宋_GB2312" w:eastAsia="仿宋_GB2312" w:cs="仿宋_GB2312"/>
          <w:sz w:val="32"/>
          <w:szCs w:val="32"/>
        </w:rPr>
        <w:t>）近1个</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内日峰值的均值</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rPr>
        <w:t>于75%，</w:t>
      </w:r>
      <w:r>
        <w:rPr>
          <w:rFonts w:hint="eastAsia" w:ascii="仿宋_GB2312" w:hAnsi="仿宋_GB2312" w:eastAsia="仿宋_GB2312" w:cs="仿宋_GB2312"/>
          <w:strike w:val="0"/>
          <w:dstrike w:val="0"/>
          <w:sz w:val="32"/>
          <w:szCs w:val="32"/>
          <w:highlight w:val="none"/>
          <w:lang w:val="en-US" w:eastAsia="zh-CN"/>
        </w:rPr>
        <w:t>应调增云资源。由</w:t>
      </w:r>
      <w:r>
        <w:rPr>
          <w:rFonts w:hint="eastAsia" w:ascii="仿宋_GB2312" w:hAnsi="仿宋_GB2312" w:eastAsia="仿宋_GB2312" w:cs="仿宋_GB2312"/>
          <w:strike w:val="0"/>
          <w:dstrike w:val="0"/>
          <w:sz w:val="32"/>
          <w:szCs w:val="32"/>
          <w:highlight w:val="none"/>
        </w:rPr>
        <w:t>使用单位提出资源扩容申请</w:t>
      </w:r>
      <w:r>
        <w:rPr>
          <w:rFonts w:hint="eastAsia" w:ascii="仿宋_GB2312" w:hAnsi="仿宋_GB2312" w:eastAsia="仿宋_GB2312" w:cs="仿宋_GB2312"/>
          <w:strike w:val="0"/>
          <w:dstrike w:val="0"/>
          <w:sz w:val="32"/>
          <w:szCs w:val="32"/>
          <w:highlight w:val="none"/>
          <w:lang w:val="en-US" w:eastAsia="zh-CN"/>
        </w:rPr>
        <w:t>后按程序调整；</w:t>
      </w:r>
    </w:p>
    <w:p w14:paraId="71C0676E">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（二）CPU使用率近3个月月均峰值低于15%且月峰值低于50%，应调减云资源</w:t>
      </w:r>
      <w:r>
        <w:rPr>
          <w:rFonts w:hint="eastAsia" w:ascii="仿宋_GB2312" w:hAnsi="仿宋_GB2312" w:eastAsia="仿宋_GB2312" w:cs="仿宋_GB2312"/>
          <w:sz w:val="32"/>
          <w:szCs w:val="32"/>
          <w:lang w:eastAsia="zh-CN"/>
        </w:rPr>
        <w:t>；</w:t>
      </w:r>
    </w:p>
    <w:p w14:paraId="71411909">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（三）内存使用率近3个月月均峰值低于20%且月峰值低于50%，应调减云资源</w:t>
      </w:r>
      <w:r>
        <w:rPr>
          <w:rFonts w:hint="eastAsia" w:ascii="仿宋_GB2312" w:hAnsi="仿宋_GB2312" w:eastAsia="仿宋_GB2312" w:cs="仿宋_GB2312"/>
          <w:sz w:val="32"/>
          <w:szCs w:val="32"/>
          <w:lang w:eastAsia="zh-CN"/>
        </w:rPr>
        <w:t>；</w:t>
      </w:r>
    </w:p>
    <w:p w14:paraId="0E2DAAF7">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（四）当云资源数据盘剩余空间除一年内新增量外，大于400G 时，应调减云资源。</w:t>
      </w:r>
    </w:p>
    <w:p w14:paraId="1B43173F">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eastAsia="仿宋_GB2312"/>
          <w:sz w:val="32"/>
          <w:szCs w:val="32"/>
          <w:lang w:eastAsia="zh-CN"/>
        </w:rPr>
        <w:t xml:space="preserve">  </w:t>
      </w:r>
      <w:r>
        <w:rPr>
          <w:rFonts w:hint="eastAsia" w:ascii="仿宋_GB2312" w:hAnsi="仿宋_GB2312" w:eastAsia="仿宋_GB2312" w:cs="仿宋_GB2312"/>
          <w:sz w:val="32"/>
          <w:szCs w:val="32"/>
          <w:highlight w:val="none"/>
          <w:lang w:val="en-US" w:eastAsia="zh-CN"/>
        </w:rPr>
        <w:t>有</w:t>
      </w:r>
      <w:r>
        <w:rPr>
          <w:rFonts w:hint="eastAsia" w:ascii="仿宋_GB2312" w:hAnsi="仿宋_GB2312" w:eastAsia="仿宋_GB2312" w:cs="仿宋_GB2312"/>
          <w:sz w:val="32"/>
          <w:szCs w:val="32"/>
          <w:highlight w:val="none"/>
        </w:rPr>
        <w:t>下列情形</w:t>
      </w:r>
      <w:r>
        <w:rPr>
          <w:rFonts w:hint="eastAsia" w:ascii="仿宋_GB2312" w:hAnsi="仿宋_GB2312" w:eastAsia="仿宋_GB2312" w:cs="仿宋_GB2312"/>
          <w:sz w:val="32"/>
          <w:szCs w:val="32"/>
          <w:highlight w:val="none"/>
          <w:lang w:val="en-US" w:eastAsia="zh-CN"/>
        </w:rPr>
        <w:t>之一，</w:t>
      </w:r>
      <w:r>
        <w:rPr>
          <w:rFonts w:hint="eastAsia" w:ascii="仿宋_GB2312" w:hAnsi="仿宋_GB2312" w:eastAsia="仿宋_GB2312" w:cs="仿宋_GB2312"/>
          <w:sz w:val="32"/>
          <w:szCs w:val="32"/>
          <w:highlight w:val="none"/>
        </w:rPr>
        <w:t>需终止使</w:t>
      </w:r>
      <w:r>
        <w:rPr>
          <w:rFonts w:hint="eastAsia" w:ascii="仿宋_GB2312" w:hAnsi="仿宋_GB2312" w:eastAsia="仿宋_GB2312" w:cs="仿宋_GB2312"/>
          <w:sz w:val="32"/>
          <w:szCs w:val="32"/>
        </w:rPr>
        <w:t>用政务云服务的，使用单位应提前10个工作日内向数字城市部</w:t>
      </w:r>
      <w:r>
        <w:rPr>
          <w:rFonts w:hint="eastAsia" w:ascii="仿宋_GB2312" w:hAnsi="仿宋_GB2312" w:eastAsia="仿宋_GB2312" w:cs="仿宋_GB2312"/>
          <w:sz w:val="32"/>
          <w:szCs w:val="32"/>
          <w:lang w:val="en-US" w:eastAsia="zh-CN"/>
        </w:rPr>
        <w:t>提交政务云停止服务</w:t>
      </w:r>
      <w:r>
        <w:rPr>
          <w:rFonts w:hint="eastAsia" w:ascii="仿宋_GB2312" w:hAnsi="仿宋_GB2312" w:eastAsia="仿宋_GB2312" w:cs="仿宋_GB2312"/>
          <w:sz w:val="32"/>
          <w:szCs w:val="32"/>
        </w:rPr>
        <w:t>申请（附件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数字城市部在接到申请完成审核后，组织</w:t>
      </w:r>
      <w:r>
        <w:rPr>
          <w:rFonts w:hint="eastAsia" w:ascii="仿宋_GB2312" w:hAnsi="仿宋_GB2312" w:eastAsia="仿宋_GB2312" w:cs="仿宋_GB2312"/>
          <w:sz w:val="32"/>
          <w:szCs w:val="32"/>
        </w:rPr>
        <w:t>云服务商做好资源释放、数据清除、云资源回收等工作。</w:t>
      </w:r>
    </w:p>
    <w:p w14:paraId="5B46E17E">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rPr>
        <w:t>（一）因上级政策发生改变，有关业务工作进行了取消或调整，导致区级建设系统确需停用</w:t>
      </w:r>
      <w:r>
        <w:rPr>
          <w:rFonts w:hint="eastAsia" w:eastAsia="仿宋_GB2312"/>
          <w:sz w:val="32"/>
          <w:szCs w:val="32"/>
          <w:lang w:val="en-US" w:eastAsia="zh-CN"/>
        </w:rPr>
        <w:t>的；</w:t>
      </w:r>
    </w:p>
    <w:p w14:paraId="09CF66FB">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rPr>
        <w:t>（二）上级单位统建了平台，要求各区县依托</w:t>
      </w:r>
      <w:r>
        <w:rPr>
          <w:rFonts w:hint="eastAsia" w:eastAsia="仿宋_GB2312"/>
          <w:sz w:val="32"/>
          <w:szCs w:val="32"/>
          <w:lang w:val="en-US" w:eastAsia="zh-CN"/>
        </w:rPr>
        <w:t>上</w:t>
      </w:r>
      <w:r>
        <w:rPr>
          <w:rFonts w:hint="eastAsia" w:eastAsia="仿宋_GB2312"/>
          <w:sz w:val="32"/>
          <w:szCs w:val="32"/>
        </w:rPr>
        <w:t>级统一平台进行业务处置，导致区级建设系统不能继续使用</w:t>
      </w:r>
      <w:r>
        <w:rPr>
          <w:rFonts w:hint="eastAsia" w:eastAsia="仿宋_GB2312"/>
          <w:sz w:val="32"/>
          <w:szCs w:val="32"/>
          <w:lang w:val="en-US" w:eastAsia="zh-CN"/>
        </w:rPr>
        <w:t>的；</w:t>
      </w:r>
    </w:p>
    <w:p w14:paraId="52A52C8E">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rPr>
        <w:t>（三）区级建设统一系统平台，导致云资源合并使用另行配置</w:t>
      </w:r>
      <w:r>
        <w:rPr>
          <w:rFonts w:hint="eastAsia" w:eastAsia="仿宋_GB2312"/>
          <w:sz w:val="32"/>
          <w:szCs w:val="32"/>
          <w:lang w:val="en-US" w:eastAsia="zh-CN"/>
        </w:rPr>
        <w:t>的；</w:t>
      </w:r>
    </w:p>
    <w:p w14:paraId="77BABA43">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rPr>
        <w:t>（四）业务内容升级，原有信息化系统功能滞后，不满足当前使用需要，导致系统停用</w:t>
      </w:r>
      <w:r>
        <w:rPr>
          <w:rFonts w:hint="eastAsia" w:eastAsia="仿宋_GB2312"/>
          <w:sz w:val="32"/>
          <w:szCs w:val="32"/>
          <w:lang w:val="en-US" w:eastAsia="zh-CN"/>
        </w:rPr>
        <w:t>的；</w:t>
      </w:r>
    </w:p>
    <w:p w14:paraId="29FB4ACC">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eastAsia="仿宋_GB2312"/>
          <w:sz w:val="32"/>
          <w:szCs w:val="32"/>
        </w:rPr>
        <w:t>（五）国家与省市政策规定的停用政务云服务的其他情形。</w:t>
      </w:r>
      <w:r>
        <w:rPr>
          <w:rFonts w:hint="eastAsia" w:eastAsia="仿宋_GB2312"/>
          <w:sz w:val="32"/>
          <w:szCs w:val="32"/>
        </w:rPr>
        <w:cr/>
      </w:r>
      <w:r>
        <w:rPr>
          <w:rFonts w:hint="eastAsia" w:eastAsia="仿宋_GB2312"/>
          <w:sz w:val="32"/>
          <w:szCs w:val="32"/>
        </w:rPr>
        <w:t xml:space="preserve">   </w:t>
      </w:r>
      <w:r>
        <w:rPr>
          <w:rFonts w:hint="eastAsia" w:ascii="黑体" w:hAnsi="黑体" w:eastAsia="黑体" w:cs="黑体"/>
          <w:sz w:val="32"/>
          <w:szCs w:val="32"/>
        </w:rPr>
        <w:t xml:space="preserve"> 第二十条</w:t>
      </w:r>
      <w:r>
        <w:rPr>
          <w:rFonts w:hint="eastAsia" w:eastAsia="仿宋_GB2312"/>
          <w:sz w:val="32"/>
          <w:szCs w:val="32"/>
          <w:lang w:eastAsia="zh-CN"/>
        </w:rPr>
        <w:t xml:space="preserve">  </w:t>
      </w:r>
      <w:r>
        <w:rPr>
          <w:rFonts w:hint="eastAsia" w:eastAsia="仿宋_GB2312"/>
          <w:sz w:val="32"/>
          <w:szCs w:val="32"/>
        </w:rPr>
        <w:t>有下列情形之一的，数字城市部将组织专业机构进行评审出具评审意见，并通知相关部门</w:t>
      </w:r>
      <w:r>
        <w:rPr>
          <w:rFonts w:hint="eastAsia" w:eastAsia="仿宋_GB2312"/>
          <w:sz w:val="32"/>
          <w:szCs w:val="32"/>
          <w:lang w:eastAsia="zh-CN"/>
        </w:rPr>
        <w:t>（</w:t>
      </w:r>
      <w:r>
        <w:rPr>
          <w:rFonts w:hint="eastAsia" w:eastAsia="仿宋_GB2312"/>
          <w:sz w:val="32"/>
          <w:szCs w:val="32"/>
          <w:lang w:val="en-US" w:eastAsia="zh-CN"/>
        </w:rPr>
        <w:t>单位）</w:t>
      </w:r>
      <w:r>
        <w:rPr>
          <w:rFonts w:hint="eastAsia" w:eastAsia="仿宋_GB2312"/>
          <w:sz w:val="32"/>
          <w:szCs w:val="32"/>
        </w:rPr>
        <w:t>进行整改。使用单位在</w:t>
      </w:r>
      <w:r>
        <w:rPr>
          <w:rFonts w:hint="eastAsia" w:ascii="仿宋_GB2312" w:hAnsi="仿宋_GB2312" w:eastAsia="仿宋_GB2312" w:cs="仿宋_GB2312"/>
          <w:sz w:val="32"/>
          <w:szCs w:val="32"/>
        </w:rPr>
        <w:t>1</w:t>
      </w:r>
      <w:r>
        <w:rPr>
          <w:rFonts w:hint="eastAsia" w:eastAsia="仿宋_GB2312"/>
          <w:sz w:val="32"/>
          <w:szCs w:val="32"/>
        </w:rPr>
        <w:t>个月内未有效整改的，由数字城市部发出告知书并可采取强制关机、资源注销等手段停止云资源使用，由此产生的相关后果由使用单位承担。</w:t>
      </w:r>
    </w:p>
    <w:p w14:paraId="7299C715">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highlight w:val="none"/>
        </w:rPr>
      </w:pPr>
      <w:r>
        <w:rPr>
          <w:rFonts w:hint="eastAsia" w:eastAsia="仿宋_GB2312"/>
          <w:sz w:val="32"/>
          <w:szCs w:val="32"/>
        </w:rPr>
        <w:t>（</w:t>
      </w:r>
      <w:r>
        <w:rPr>
          <w:rFonts w:hint="eastAsia" w:eastAsia="仿宋_GB2312"/>
          <w:sz w:val="32"/>
          <w:szCs w:val="32"/>
          <w:lang w:val="en-US" w:eastAsia="zh-CN"/>
        </w:rPr>
        <w:t>一</w:t>
      </w:r>
      <w:r>
        <w:rPr>
          <w:rFonts w:hint="eastAsia" w:eastAsia="仿宋_GB2312"/>
          <w:sz w:val="32"/>
          <w:szCs w:val="32"/>
        </w:rPr>
        <w:t>）已进行云资源调减后</w:t>
      </w:r>
      <w:r>
        <w:rPr>
          <w:rFonts w:hint="eastAsia" w:ascii="仿宋_GB2312" w:hAnsi="仿宋_GB2312" w:eastAsia="仿宋_GB2312" w:cs="仿宋_GB2312"/>
          <w:sz w:val="32"/>
          <w:szCs w:val="32"/>
          <w:lang w:val="en-US" w:eastAsia="zh-CN"/>
        </w:rPr>
        <w:t>3</w:t>
      </w:r>
      <w:r>
        <w:rPr>
          <w:rFonts w:hint="eastAsia" w:eastAsia="仿宋_GB2312"/>
          <w:sz w:val="32"/>
          <w:szCs w:val="32"/>
          <w:lang w:val="en-US" w:eastAsia="zh-CN"/>
        </w:rPr>
        <w:t>个月内</w:t>
      </w:r>
      <w:r>
        <w:rPr>
          <w:rFonts w:hint="eastAsia" w:eastAsia="仿宋_GB2312"/>
          <w:sz w:val="32"/>
          <w:szCs w:val="32"/>
          <w:highlight w:val="none"/>
        </w:rPr>
        <w:t>仍</w:t>
      </w:r>
      <w:r>
        <w:rPr>
          <w:rFonts w:hint="eastAsia" w:eastAsia="仿宋_GB2312"/>
          <w:strike w:val="0"/>
          <w:dstrike w:val="0"/>
          <w:sz w:val="32"/>
          <w:szCs w:val="32"/>
          <w:highlight w:val="none"/>
          <w:lang w:val="en-US" w:eastAsia="zh-CN"/>
        </w:rPr>
        <w:t>存在</w:t>
      </w:r>
      <w:r>
        <w:rPr>
          <w:rFonts w:hint="eastAsia" w:eastAsia="仿宋_GB2312"/>
          <w:strike w:val="0"/>
          <w:dstrike w:val="0"/>
          <w:sz w:val="32"/>
          <w:szCs w:val="32"/>
          <w:highlight w:val="none"/>
        </w:rPr>
        <w:t>与业务应用脱节</w:t>
      </w:r>
      <w:r>
        <w:rPr>
          <w:rFonts w:hint="eastAsia" w:eastAsia="仿宋_GB2312"/>
          <w:strike w:val="0"/>
          <w:dstrike w:val="0"/>
          <w:sz w:val="32"/>
          <w:szCs w:val="32"/>
          <w:highlight w:val="none"/>
          <w:lang w:eastAsia="zh-CN"/>
        </w:rPr>
        <w:t>、</w:t>
      </w:r>
      <w:r>
        <w:rPr>
          <w:rFonts w:hint="eastAsia" w:eastAsia="仿宋_GB2312"/>
          <w:strike w:val="0"/>
          <w:dstrike w:val="0"/>
          <w:sz w:val="32"/>
          <w:szCs w:val="32"/>
          <w:highlight w:val="none"/>
        </w:rPr>
        <w:t>资源</w:t>
      </w:r>
      <w:r>
        <w:rPr>
          <w:rFonts w:hint="eastAsia" w:eastAsia="仿宋_GB2312"/>
          <w:sz w:val="32"/>
          <w:szCs w:val="32"/>
          <w:highlight w:val="none"/>
        </w:rPr>
        <w:t>未更新、运维更新停止</w:t>
      </w:r>
      <w:r>
        <w:rPr>
          <w:rFonts w:hint="eastAsia" w:eastAsia="仿宋_GB2312"/>
          <w:sz w:val="32"/>
          <w:szCs w:val="32"/>
          <w:highlight w:val="none"/>
          <w:lang w:val="en-US" w:eastAsia="zh-CN"/>
        </w:rPr>
        <w:t>等</w:t>
      </w:r>
      <w:r>
        <w:rPr>
          <w:rFonts w:hint="eastAsia" w:eastAsia="仿宋_GB2312"/>
          <w:sz w:val="32"/>
          <w:szCs w:val="32"/>
          <w:highlight w:val="none"/>
        </w:rPr>
        <w:t>使用率较低</w:t>
      </w:r>
      <w:r>
        <w:rPr>
          <w:rFonts w:hint="eastAsia" w:eastAsia="仿宋_GB2312"/>
          <w:sz w:val="32"/>
          <w:szCs w:val="32"/>
          <w:highlight w:val="none"/>
          <w:lang w:val="en-US" w:eastAsia="zh-CN"/>
        </w:rPr>
        <w:t>情况</w:t>
      </w:r>
      <w:r>
        <w:rPr>
          <w:rFonts w:hint="eastAsia" w:eastAsia="仿宋_GB2312"/>
          <w:sz w:val="32"/>
          <w:szCs w:val="32"/>
          <w:highlight w:val="none"/>
        </w:rPr>
        <w:t>的；</w:t>
      </w:r>
    </w:p>
    <w:p w14:paraId="5FD26502">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eastAsia="仿宋_GB2312"/>
          <w:sz w:val="32"/>
          <w:szCs w:val="32"/>
        </w:rPr>
        <w:t>（</w:t>
      </w:r>
      <w:r>
        <w:rPr>
          <w:rFonts w:hint="eastAsia" w:eastAsia="仿宋_GB2312"/>
          <w:sz w:val="32"/>
          <w:szCs w:val="32"/>
          <w:lang w:val="en-US" w:eastAsia="zh-CN"/>
        </w:rPr>
        <w:t>二</w:t>
      </w:r>
      <w:r>
        <w:rPr>
          <w:rFonts w:hint="eastAsia" w:eastAsia="仿宋_GB2312"/>
          <w:sz w:val="32"/>
          <w:szCs w:val="32"/>
        </w:rPr>
        <w:t>）已部署在政务云上，但不符合政务云管理办法中有关安全和密码规定的信息系统；</w:t>
      </w:r>
    </w:p>
    <w:p w14:paraId="637162B0">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eastAsia="仿宋_GB2312"/>
          <w:sz w:val="32"/>
          <w:szCs w:val="32"/>
        </w:rPr>
        <w:t>（</w:t>
      </w:r>
      <w:r>
        <w:rPr>
          <w:rFonts w:hint="eastAsia" w:eastAsia="仿宋_GB2312"/>
          <w:sz w:val="32"/>
          <w:szCs w:val="32"/>
          <w:lang w:val="en-US" w:eastAsia="zh-CN"/>
        </w:rPr>
        <w:t>三</w:t>
      </w:r>
      <w:r>
        <w:rPr>
          <w:rFonts w:hint="eastAsia" w:eastAsia="仿宋_GB2312"/>
          <w:sz w:val="32"/>
          <w:szCs w:val="32"/>
        </w:rPr>
        <w:t>）存在信息安全漏洞风险的信息系统；</w:t>
      </w:r>
    </w:p>
    <w:p w14:paraId="6F170A4E">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trike/>
          <w:dstrike w:val="0"/>
          <w:sz w:val="32"/>
          <w:szCs w:val="32"/>
        </w:rPr>
      </w:pPr>
      <w:r>
        <w:rPr>
          <w:rFonts w:hint="eastAsia" w:eastAsia="仿宋_GB2312"/>
          <w:sz w:val="32"/>
          <w:szCs w:val="32"/>
        </w:rPr>
        <w:t>（</w:t>
      </w:r>
      <w:r>
        <w:rPr>
          <w:rFonts w:hint="eastAsia" w:eastAsia="仿宋_GB2312"/>
          <w:sz w:val="32"/>
          <w:szCs w:val="32"/>
          <w:lang w:val="en-US" w:eastAsia="zh-CN"/>
        </w:rPr>
        <w:t>四</w:t>
      </w:r>
      <w:r>
        <w:rPr>
          <w:rFonts w:hint="eastAsia" w:eastAsia="仿宋_GB2312"/>
          <w:sz w:val="32"/>
          <w:szCs w:val="32"/>
        </w:rPr>
        <w:t>）未按申请用途及要求使用云资源的；</w:t>
      </w:r>
    </w:p>
    <w:p w14:paraId="037BEE6F">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eastAsia="仿宋_GB2312"/>
          <w:sz w:val="32"/>
          <w:szCs w:val="32"/>
        </w:rPr>
        <w:t>（</w:t>
      </w:r>
      <w:r>
        <w:rPr>
          <w:rFonts w:hint="eastAsia" w:eastAsia="仿宋_GB2312"/>
          <w:sz w:val="32"/>
          <w:szCs w:val="32"/>
          <w:lang w:val="en-US" w:eastAsia="zh-CN"/>
        </w:rPr>
        <w:t>五</w:t>
      </w:r>
      <w:r>
        <w:rPr>
          <w:rFonts w:hint="eastAsia" w:eastAsia="仿宋_GB2312"/>
          <w:sz w:val="32"/>
          <w:szCs w:val="32"/>
        </w:rPr>
        <w:t>）其他</w:t>
      </w:r>
      <w:r>
        <w:rPr>
          <w:rFonts w:hint="eastAsia" w:eastAsia="仿宋_GB2312"/>
          <w:sz w:val="32"/>
          <w:szCs w:val="32"/>
          <w:lang w:val="en-US" w:eastAsia="zh-CN"/>
        </w:rPr>
        <w:t>违反有关法律法规、政策，</w:t>
      </w:r>
      <w:r>
        <w:rPr>
          <w:rFonts w:hint="eastAsia" w:eastAsia="仿宋_GB2312"/>
          <w:sz w:val="32"/>
          <w:szCs w:val="32"/>
        </w:rPr>
        <w:t>使用不规范的情形。</w:t>
      </w:r>
    </w:p>
    <w:p w14:paraId="5D3B7E0F">
      <w:pPr>
        <w:pStyle w:val="12"/>
        <w:keepLines w:val="0"/>
        <w:pageBreakBefore w:val="0"/>
        <w:widowControl/>
        <w:wordWrap/>
        <w:topLinePunct w:val="0"/>
        <w:bidi w:val="0"/>
        <w:spacing w:before="0" w:beforeAutospacing="0" w:after="0" w:afterAutospacing="0" w:line="579" w:lineRule="exact"/>
        <w:ind w:firstLine="640" w:firstLineChars="200"/>
        <w:textAlignment w:val="auto"/>
        <w:rPr>
          <w:rFonts w:hint="eastAsia" w:eastAsia="仿宋_GB2312"/>
          <w:sz w:val="32"/>
          <w:szCs w:val="32"/>
        </w:rPr>
      </w:pPr>
    </w:p>
    <w:p w14:paraId="7FF0EB99">
      <w:pPr>
        <w:pStyle w:val="12"/>
        <w:keepNext w:val="0"/>
        <w:keepLines w:val="0"/>
        <w:pageBreakBefore w:val="0"/>
        <w:widowControl/>
        <w:kinsoku/>
        <w:wordWrap/>
        <w:overflowPunct/>
        <w:topLinePunct w:val="0"/>
        <w:autoSpaceDE/>
        <w:autoSpaceDN/>
        <w:bidi w:val="0"/>
        <w:adjustRightInd/>
        <w:snapToGrid/>
        <w:spacing w:before="0" w:beforeAutospacing="0" w:after="313" w:afterLines="100" w:afterAutospacing="0" w:line="579" w:lineRule="exact"/>
        <w:ind w:firstLine="42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运维与安全管理</w:t>
      </w:r>
    </w:p>
    <w:p w14:paraId="1A2F4E8E">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第二十一条</w:t>
      </w:r>
      <w:r>
        <w:rPr>
          <w:rFonts w:hint="eastAsia" w:eastAsia="仿宋_GB2312"/>
          <w:sz w:val="32"/>
          <w:szCs w:val="32"/>
          <w:lang w:eastAsia="zh-CN"/>
        </w:rPr>
        <w:t xml:space="preserve">  </w:t>
      </w:r>
      <w:r>
        <w:rPr>
          <w:rFonts w:eastAsia="仿宋_GB2312"/>
          <w:sz w:val="32"/>
          <w:szCs w:val="32"/>
        </w:rPr>
        <w:t>由数字城市部</w:t>
      </w:r>
      <w:r>
        <w:rPr>
          <w:rFonts w:hint="eastAsia" w:eastAsia="仿宋_GB2312"/>
          <w:sz w:val="32"/>
          <w:szCs w:val="32"/>
        </w:rPr>
        <w:t>组织云服务商统筹</w:t>
      </w:r>
      <w:r>
        <w:rPr>
          <w:rFonts w:eastAsia="仿宋_GB2312"/>
          <w:sz w:val="32"/>
          <w:szCs w:val="32"/>
        </w:rPr>
        <w:t>做好政务云的运行维护</w:t>
      </w:r>
      <w:r>
        <w:rPr>
          <w:rFonts w:hint="eastAsia" w:eastAsia="仿宋_GB2312"/>
          <w:sz w:val="32"/>
          <w:szCs w:val="32"/>
        </w:rPr>
        <w:t>和安全</w:t>
      </w:r>
      <w:r>
        <w:rPr>
          <w:rFonts w:eastAsia="仿宋_GB2312"/>
          <w:sz w:val="32"/>
          <w:szCs w:val="32"/>
        </w:rPr>
        <w:t>管理工作，指导</w:t>
      </w:r>
      <w:r>
        <w:rPr>
          <w:rFonts w:hint="eastAsia" w:eastAsia="仿宋_GB2312"/>
          <w:sz w:val="32"/>
          <w:szCs w:val="32"/>
        </w:rPr>
        <w:t>使用单位</w:t>
      </w:r>
      <w:r>
        <w:rPr>
          <w:rFonts w:eastAsia="仿宋_GB2312"/>
          <w:sz w:val="32"/>
          <w:szCs w:val="32"/>
        </w:rPr>
        <w:t>合理使用云资源</w:t>
      </w:r>
      <w:r>
        <w:rPr>
          <w:rFonts w:hint="eastAsia" w:eastAsia="仿宋_GB2312"/>
          <w:sz w:val="32"/>
          <w:szCs w:val="32"/>
        </w:rPr>
        <w:t>。</w:t>
      </w:r>
    </w:p>
    <w:p w14:paraId="5153116B">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第二十二条</w:t>
      </w:r>
      <w:r>
        <w:rPr>
          <w:rFonts w:hint="eastAsia" w:eastAsia="仿宋_GB2312"/>
          <w:sz w:val="32"/>
          <w:szCs w:val="32"/>
          <w:lang w:eastAsia="zh-CN"/>
        </w:rPr>
        <w:t xml:space="preserve">  </w:t>
      </w:r>
      <w:r>
        <w:rPr>
          <w:rFonts w:hint="eastAsia" w:eastAsia="仿宋_GB2312"/>
          <w:sz w:val="32"/>
          <w:szCs w:val="32"/>
        </w:rPr>
        <w:t>使用单位负责本单位政务信息系统的日常运行维护管理，跟踪系统运行状况，合理使用云资源；同时，应建立健全政务信息系统运行维护管理制度和应急处置预案，支持并参与政务云应急处置等演练活动，发现问题及时向云服务商反映并协同处理，确保单位政务信息系统安全稳定运行。</w:t>
      </w:r>
    </w:p>
    <w:p w14:paraId="20E4B78E">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第二十三条</w:t>
      </w:r>
      <w:r>
        <w:rPr>
          <w:rFonts w:hint="eastAsia" w:eastAsia="仿宋_GB2312"/>
          <w:sz w:val="32"/>
          <w:szCs w:val="32"/>
          <w:lang w:eastAsia="zh-CN"/>
        </w:rPr>
        <w:t xml:space="preserve">  </w:t>
      </w:r>
      <w:r>
        <w:rPr>
          <w:rFonts w:hint="eastAsia" w:eastAsia="仿宋_GB2312"/>
          <w:sz w:val="32"/>
          <w:szCs w:val="32"/>
        </w:rPr>
        <w:t>任何单位和个人必须遵守国家法律法规，不得利用政务云侵犯国家、集体利益及公民合法权益，不得利用政务云从事违法犯罪活动。</w:t>
      </w:r>
    </w:p>
    <w:p w14:paraId="714A5CEC">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第二十四条</w:t>
      </w:r>
      <w:r>
        <w:rPr>
          <w:rFonts w:hint="eastAsia" w:eastAsia="仿宋_GB2312"/>
          <w:sz w:val="32"/>
          <w:szCs w:val="32"/>
          <w:lang w:eastAsia="zh-CN"/>
        </w:rPr>
        <w:t xml:space="preserve">  </w:t>
      </w:r>
      <w:r>
        <w:rPr>
          <w:rFonts w:hint="eastAsia" w:eastAsia="仿宋_GB2312"/>
          <w:sz w:val="32"/>
          <w:szCs w:val="32"/>
        </w:rPr>
        <w:t>使用单位做好政务信息系统上云前安全评估工作，严防系统“带病”上云，做好政务信息系统和数据资源的安全管理，做好网络安全等级保护定级备案、安全测评和密码应用安全性评估等工作，加强日常管理巡查，及时发现风险漏洞并整改到位。</w:t>
      </w:r>
    </w:p>
    <w:p w14:paraId="08086679">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ascii="黑体" w:hAnsi="黑体" w:eastAsia="黑体" w:cs="黑体"/>
          <w:sz w:val="32"/>
          <w:szCs w:val="32"/>
        </w:rPr>
        <w:t>第二十五条</w:t>
      </w:r>
      <w:r>
        <w:rPr>
          <w:rFonts w:hint="eastAsia" w:eastAsia="仿宋_GB2312"/>
          <w:sz w:val="32"/>
          <w:szCs w:val="32"/>
          <w:lang w:eastAsia="zh-CN"/>
        </w:rPr>
        <w:t xml:space="preserve">  </w:t>
      </w:r>
      <w:r>
        <w:rPr>
          <w:rFonts w:hint="eastAsia" w:eastAsia="仿宋_GB2312"/>
          <w:sz w:val="32"/>
          <w:szCs w:val="32"/>
        </w:rPr>
        <w:t>由数字城市部组织云服务商负责政务云的安全管理，严格落实网络安全、保密、密码等相关法律法规规定，定期开展风险评估、云计算服务安全评估等工作，并协助政务云使用单位对信息系统和数据资源进行安全管理。</w:t>
      </w:r>
    </w:p>
    <w:p w14:paraId="737C4F8A">
      <w:pPr>
        <w:pStyle w:val="12"/>
        <w:keepLines w:val="0"/>
        <w:pageBreakBefore w:val="0"/>
        <w:widowControl/>
        <w:wordWrap/>
        <w:topLinePunct w:val="0"/>
        <w:bidi w:val="0"/>
        <w:spacing w:before="0" w:beforeAutospacing="0" w:after="0" w:afterAutospacing="0" w:line="579" w:lineRule="exact"/>
        <w:ind w:firstLine="640" w:firstLineChars="200"/>
        <w:jc w:val="both"/>
        <w:textAlignment w:val="auto"/>
        <w:rPr>
          <w:rFonts w:hint="eastAsia" w:eastAsia="仿宋_GB2312"/>
          <w:sz w:val="32"/>
          <w:szCs w:val="32"/>
        </w:rPr>
      </w:pPr>
      <w:r>
        <w:rPr>
          <w:rFonts w:hint="eastAsia" w:eastAsia="仿宋_GB2312"/>
          <w:sz w:val="32"/>
          <w:szCs w:val="32"/>
        </w:rPr>
        <w:t>数字城市部组织云服务商建立健全内部安全管理制度、应急处置预案，定期开展安全培训、保密教育和应急演练；发现安全风险应及时告知使用单位尽快整改。对存在重大隐患或遭受恶意攻击可能造成严重后果的，可直接暂停相应云服务或断开网络，并第一时间向使用单位说明情况。</w:t>
      </w:r>
    </w:p>
    <w:p w14:paraId="32B85449">
      <w:pPr>
        <w:pStyle w:val="12"/>
        <w:keepLines w:val="0"/>
        <w:pageBreakBefore w:val="0"/>
        <w:widowControl/>
        <w:wordWrap/>
        <w:topLinePunct w:val="0"/>
        <w:bidi w:val="0"/>
        <w:spacing w:before="0" w:beforeAutospacing="0" w:after="0" w:afterAutospacing="0" w:line="579" w:lineRule="exact"/>
        <w:ind w:firstLine="640" w:firstLineChars="200"/>
        <w:textAlignment w:val="auto"/>
        <w:rPr>
          <w:rFonts w:hint="eastAsia" w:eastAsia="仿宋_GB2312"/>
          <w:sz w:val="32"/>
          <w:szCs w:val="32"/>
        </w:rPr>
      </w:pPr>
    </w:p>
    <w:p w14:paraId="1054CC6D">
      <w:pPr>
        <w:pStyle w:val="12"/>
        <w:keepNext w:val="0"/>
        <w:keepLines w:val="0"/>
        <w:pageBreakBefore w:val="0"/>
        <w:widowControl/>
        <w:kinsoku/>
        <w:wordWrap/>
        <w:overflowPunct/>
        <w:topLinePunct w:val="0"/>
        <w:autoSpaceDE/>
        <w:autoSpaceDN/>
        <w:bidi w:val="0"/>
        <w:adjustRightInd/>
        <w:snapToGrid/>
        <w:spacing w:before="0" w:beforeAutospacing="0" w:after="313" w:afterLines="100" w:afterAutospacing="0" w:line="579" w:lineRule="exact"/>
        <w:ind w:firstLine="42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附</w:t>
      </w:r>
      <w:r>
        <w:rPr>
          <w:rFonts w:hint="eastAsia" w:ascii="黑体" w:hAnsi="黑体" w:eastAsia="黑体" w:cs="黑体"/>
          <w:b w:val="0"/>
          <w:bCs w:val="0"/>
          <w:sz w:val="32"/>
          <w:szCs w:val="32"/>
          <w:lang w:eastAsia="zh-CN"/>
        </w:rPr>
        <w:t xml:space="preserve">  </w:t>
      </w:r>
      <w:r>
        <w:rPr>
          <w:rFonts w:hint="eastAsia" w:ascii="黑体" w:hAnsi="黑体" w:eastAsia="黑体" w:cs="黑体"/>
          <w:b w:val="0"/>
          <w:bCs w:val="0"/>
          <w:sz w:val="32"/>
          <w:szCs w:val="32"/>
        </w:rPr>
        <w:t>则</w:t>
      </w:r>
    </w:p>
    <w:p w14:paraId="7D4C4FB9">
      <w:pPr>
        <w:pStyle w:val="12"/>
        <w:keepLines w:val="0"/>
        <w:pageBreakBefore w:val="0"/>
        <w:widowControl/>
        <w:wordWrap/>
        <w:topLinePunct w:val="0"/>
        <w:bidi w:val="0"/>
        <w:spacing w:before="0" w:beforeAutospacing="0" w:after="0" w:afterAutospacing="0" w:line="579" w:lineRule="exact"/>
        <w:ind w:firstLine="640" w:firstLineChars="200"/>
        <w:textAlignment w:val="auto"/>
        <w:rPr>
          <w:rFonts w:hint="eastAsia" w:eastAsia="仿宋_GB2312"/>
          <w:sz w:val="32"/>
          <w:szCs w:val="32"/>
        </w:rPr>
      </w:pPr>
      <w:r>
        <w:rPr>
          <w:rFonts w:hint="eastAsia" w:ascii="黑体" w:hAnsi="黑体" w:eastAsia="黑体" w:cs="黑体"/>
          <w:sz w:val="32"/>
          <w:szCs w:val="32"/>
        </w:rPr>
        <w:t>第二十六条</w:t>
      </w:r>
      <w:r>
        <w:rPr>
          <w:rFonts w:hint="eastAsia" w:eastAsia="仿宋_GB2312"/>
          <w:sz w:val="32"/>
          <w:szCs w:val="32"/>
          <w:lang w:eastAsia="zh-CN"/>
        </w:rPr>
        <w:t xml:space="preserve">  </w:t>
      </w:r>
      <w:r>
        <w:rPr>
          <w:rFonts w:hint="eastAsia" w:eastAsia="仿宋_GB2312"/>
          <w:sz w:val="32"/>
          <w:szCs w:val="32"/>
        </w:rPr>
        <w:t>本办法自印发之日起施行。</w:t>
      </w:r>
    </w:p>
    <w:p w14:paraId="0D875819">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p>
    <w:p w14:paraId="6D89BE1C">
      <w:pPr>
        <w:pStyle w:val="12"/>
        <w:keepLines w:val="0"/>
        <w:pageBreakBefore w:val="0"/>
        <w:widowControl/>
        <w:wordWrap/>
        <w:topLinePunct w:val="0"/>
        <w:bidi w:val="0"/>
        <w:spacing w:before="0" w:beforeAutospacing="0" w:after="0" w:afterAutospacing="0" w:line="579"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附件：1.关于XX项目入驻政务云的申请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济南政务云计算</w:t>
      </w:r>
    </w:p>
    <w:p w14:paraId="3E4BDCAE">
      <w:pPr>
        <w:pStyle w:val="12"/>
        <w:keepLines w:val="0"/>
        <w:pageBreakBefore w:val="0"/>
        <w:widowControl/>
        <w:wordWrap/>
        <w:topLinePunct w:val="0"/>
        <w:bidi w:val="0"/>
        <w:spacing w:before="0" w:beforeAutospacing="0" w:after="0" w:afterAutospacing="0" w:line="579" w:lineRule="exact"/>
        <w:ind w:left="638" w:leftChars="304" w:firstLine="1280" w:firstLine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中心云服务资源需求表</w:t>
      </w:r>
      <w:r>
        <w:rPr>
          <w:rFonts w:hint="eastAsia" w:ascii="仿宋_GB2312" w:hAnsi="仿宋_GB2312" w:eastAsia="仿宋_GB2312" w:cs="仿宋_GB2312"/>
          <w:sz w:val="32"/>
          <w:szCs w:val="32"/>
          <w:lang w:eastAsia="zh-CN"/>
        </w:rPr>
        <w:t>）</w:t>
      </w:r>
    </w:p>
    <w:p w14:paraId="55A27AF1">
      <w:pPr>
        <w:pStyle w:val="12"/>
        <w:keepLines w:val="0"/>
        <w:pageBreakBefore w:val="0"/>
        <w:widowControl/>
        <w:wordWrap/>
        <w:topLinePunct w:val="0"/>
        <w:bidi w:val="0"/>
        <w:spacing w:before="0" w:beforeAutospacing="0" w:after="0" w:afterAutospacing="0" w:line="579" w:lineRule="exact"/>
        <w:ind w:left="1839" w:leftChars="760" w:hanging="243" w:hangingChars="7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.政务云资源开通确认函</w:t>
      </w:r>
    </w:p>
    <w:p w14:paraId="022A2F36">
      <w:pPr>
        <w:pStyle w:val="12"/>
        <w:keepLines w:val="0"/>
        <w:pageBreakBefore w:val="0"/>
        <w:widowControl/>
        <w:wordWrap/>
        <w:topLinePunct w:val="0"/>
        <w:bidi w:val="0"/>
        <w:spacing w:before="0" w:beforeAutospacing="0" w:after="0" w:afterAutospacing="0" w:line="579"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.济南政务云计算中心云服务资源变更/注销申请表</w:t>
      </w:r>
    </w:p>
    <w:p w14:paraId="16D92EE3">
      <w:pPr>
        <w:pStyle w:val="12"/>
        <w:widowControl/>
        <w:spacing w:before="0" w:beforeLines="0" w:beforeAutospacing="0" w:after="0" w:afterLines="0" w:afterAutospacing="0" w:line="579" w:lineRule="exact"/>
        <w:rPr>
          <w:rFonts w:hint="eastAsia" w:ascii="黑体" w:hAnsi="黑体" w:eastAsia="黑体" w:cs="黑体"/>
          <w:bCs/>
          <w:sz w:val="32"/>
          <w:szCs w:val="32"/>
        </w:rPr>
      </w:pPr>
    </w:p>
    <w:p w14:paraId="5F17E89D">
      <w:pPr>
        <w:bidi w:val="0"/>
        <w:rPr>
          <w:rFonts w:hint="eastAsia"/>
          <w:lang w:val="en-US" w:eastAsia="zh-CN"/>
        </w:rPr>
      </w:pPr>
    </w:p>
    <w:p w14:paraId="2EF3B241">
      <w:pPr>
        <w:keepNext/>
        <w:keepLines w:val="0"/>
        <w:pageBreakBefore w:val="0"/>
        <w:widowControl w:val="0"/>
        <w:wordWrap/>
        <w:topLinePunct w:val="0"/>
        <w:bidi w:val="0"/>
        <w:spacing w:line="600" w:lineRule="exact"/>
        <w:jc w:val="both"/>
        <w:textAlignment w:val="auto"/>
        <w:rPr>
          <w:rFonts w:hint="eastAsia" w:ascii="仿宋_GB2312" w:hAnsi="仿宋_GB2312" w:eastAsia="仿宋_GB2312" w:cs="仿宋_GB2312"/>
          <w:sz w:val="32"/>
          <w:szCs w:val="32"/>
          <w:highlight w:val="none"/>
          <w:lang w:val="en-US" w:eastAsia="zh-CN"/>
        </w:rPr>
        <w:sectPr>
          <w:footerReference r:id="rId3" w:type="default"/>
          <w:pgSz w:w="11906" w:h="16838"/>
          <w:pgMar w:top="2098" w:right="1474" w:bottom="1984" w:left="1474" w:header="851" w:footer="992" w:gutter="0"/>
          <w:pgNumType w:fmt="decimal"/>
          <w:cols w:space="720" w:num="1"/>
          <w:docGrid w:type="lines" w:linePitch="312" w:charSpace="0"/>
        </w:sectPr>
      </w:pPr>
    </w:p>
    <w:p w14:paraId="07087D37">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附件1</w:t>
      </w:r>
    </w:p>
    <w:p w14:paraId="0D30E0EF">
      <w:pPr>
        <w:pStyle w:val="12"/>
        <w:widowControl/>
        <w:spacing w:before="0" w:beforeLines="0" w:beforeAutospacing="0" w:after="0" w:afterLines="0" w:afterAutospacing="0" w:line="579" w:lineRule="exact"/>
        <w:ind w:firstLine="880" w:firstLineChars="200"/>
        <w:rPr>
          <w:rFonts w:hint="eastAsia" w:ascii="方正小标宋简体" w:hAnsi="方正小标宋简体" w:eastAsia="方正小标宋简体" w:cs="方正小标宋简体"/>
          <w:bCs/>
          <w:sz w:val="44"/>
          <w:szCs w:val="44"/>
        </w:rPr>
      </w:pPr>
    </w:p>
    <w:p w14:paraId="5075679F">
      <w:pPr>
        <w:pStyle w:val="12"/>
        <w:widowControl/>
        <w:spacing w:before="0" w:beforeLines="0" w:beforeAutospacing="0" w:after="0" w:afterLines="0" w:afterAutospacing="0" w:line="579"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关于XX项目入驻政务云的申请</w:t>
      </w:r>
    </w:p>
    <w:p w14:paraId="333C9375">
      <w:pPr>
        <w:spacing w:beforeLines="0" w:afterLines="0" w:line="579" w:lineRule="exact"/>
        <w:rPr>
          <w:rFonts w:hint="eastAsia" w:ascii="仿宋" w:hAnsi="仿宋" w:eastAsia="仿宋"/>
          <w:sz w:val="32"/>
          <w:szCs w:val="32"/>
        </w:rPr>
      </w:pPr>
    </w:p>
    <w:p w14:paraId="3B216CDE">
      <w:pPr>
        <w:spacing w:beforeLines="0" w:afterLines="0"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数字城市部：</w:t>
      </w:r>
    </w:p>
    <w:p w14:paraId="3C216C63">
      <w:pPr>
        <w:spacing w:beforeLines="0" w:afterLines="0" w:line="579"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XX部按照XX要求，落实XX精神，进行XX系统项目建设…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（该段描述建设该项目的依据）</w:t>
      </w:r>
    </w:p>
    <w:p w14:paraId="016B443F">
      <w:pPr>
        <w:spacing w:beforeLines="0" w:afterLines="0" w:line="579"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XX项目主要实现功能及模块：……</w:t>
      </w:r>
    </w:p>
    <w:p w14:paraId="5C255F30">
      <w:pPr>
        <w:spacing w:beforeLines="0" w:afterLines="0" w:line="579"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XX项目建设意义：……</w:t>
      </w:r>
    </w:p>
    <w:p w14:paraId="7F4157C0">
      <w:pPr>
        <w:spacing w:beforeLines="0" w:afterLines="0" w:line="579"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根据《济南新旧动能转换起步区政务云管理办法》等相关文件，申请入驻政务云，需虚拟服务器XX台，云存储XXT，备份存储XXT，互联网IP地址XX个，互联网带宽XXM，另对安全等有……需求，详见附件（若有高端虚拟机和存储，做特殊说明）。</w:t>
      </w:r>
    </w:p>
    <w:p w14:paraId="6954AA56">
      <w:pPr>
        <w:spacing w:beforeLines="0" w:afterLines="0" w:line="579" w:lineRule="exact"/>
        <w:ind w:firstLine="640"/>
        <w:rPr>
          <w:rFonts w:hint="eastAsia" w:ascii="仿宋_GB2312" w:hAnsi="仿宋_GB2312" w:eastAsia="仿宋_GB2312" w:cs="仿宋_GB2312"/>
          <w:bCs/>
          <w:sz w:val="32"/>
          <w:szCs w:val="32"/>
        </w:rPr>
      </w:pPr>
    </w:p>
    <w:p w14:paraId="1D6D2BA5">
      <w:pPr>
        <w:spacing w:beforeLines="0" w:afterLines="0" w:line="579" w:lineRule="exact"/>
        <w:ind w:firstLine="64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附件：1.政务云资源</w:t>
      </w:r>
      <w:r>
        <w:rPr>
          <w:rFonts w:hint="eastAsia" w:ascii="仿宋_GB2312" w:hAnsi="仿宋_GB2312" w:eastAsia="仿宋_GB2312" w:cs="仿宋_GB2312"/>
          <w:bCs/>
          <w:sz w:val="32"/>
          <w:szCs w:val="32"/>
          <w:lang w:val="en-US" w:eastAsia="zh-CN"/>
        </w:rPr>
        <w:t>需求表</w:t>
      </w:r>
    </w:p>
    <w:p w14:paraId="7CF82FDD">
      <w:pPr>
        <w:spacing w:beforeLines="0" w:afterLines="0" w:line="579" w:lineRule="exact"/>
        <w:ind w:firstLine="1609" w:firstLineChars="50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2.政务云上云业务系统需求说明</w:t>
      </w:r>
    </w:p>
    <w:p w14:paraId="19B58DB2">
      <w:pPr>
        <w:spacing w:beforeLines="0" w:afterLines="0" w:line="579"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14:paraId="57CA4660">
      <w:pPr>
        <w:spacing w:beforeLines="0" w:afterLines="0" w:line="579" w:lineRule="exact"/>
        <w:ind w:firstLine="64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                             政务云使用单位（盖章）</w:t>
      </w:r>
    </w:p>
    <w:p w14:paraId="44805E28">
      <w:pPr>
        <w:spacing w:beforeLines="0" w:afterLines="0" w:line="579" w:lineRule="exact"/>
        <w:ind w:firstLine="64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年 月 日</w:t>
      </w:r>
    </w:p>
    <w:p w14:paraId="7F5B3C96">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i w:val="0"/>
          <w:iCs w:val="0"/>
          <w:caps w:val="0"/>
          <w:color w:val="auto"/>
          <w:spacing w:val="0"/>
          <w:sz w:val="32"/>
          <w:szCs w:val="32"/>
          <w:lang w:val="en-US" w:eastAsia="zh-CN"/>
        </w:rPr>
      </w:pPr>
    </w:p>
    <w:p w14:paraId="3956400F">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i w:val="0"/>
          <w:iCs w:val="0"/>
          <w:caps w:val="0"/>
          <w:color w:val="auto"/>
          <w:spacing w:val="0"/>
          <w:sz w:val="32"/>
          <w:szCs w:val="32"/>
          <w:lang w:val="en-US" w:eastAsia="zh-CN"/>
        </w:rPr>
      </w:pPr>
    </w:p>
    <w:p w14:paraId="446922EE">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i w:val="0"/>
          <w:iCs w:val="0"/>
          <w:caps w:val="0"/>
          <w:color w:val="auto"/>
          <w:spacing w:val="0"/>
          <w:sz w:val="32"/>
          <w:szCs w:val="32"/>
          <w:lang w:val="en-US" w:eastAsia="zh-CN"/>
        </w:rPr>
      </w:pPr>
    </w:p>
    <w:p w14:paraId="152CA5DE">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i w:val="0"/>
          <w:iCs w:val="0"/>
          <w:caps w:val="0"/>
          <w:color w:val="auto"/>
          <w:spacing w:val="0"/>
          <w:sz w:val="32"/>
          <w:szCs w:val="32"/>
          <w:lang w:val="en-US" w:eastAsia="zh-CN"/>
        </w:rPr>
        <w:sectPr>
          <w:footerReference r:id="rId4" w:type="default"/>
          <w:pgSz w:w="11906" w:h="16838"/>
          <w:pgMar w:top="1701" w:right="1474" w:bottom="1587" w:left="1587" w:header="851" w:footer="992" w:gutter="0"/>
          <w:pgBorders>
            <w:top w:val="none" w:sz="0" w:space="0"/>
            <w:left w:val="none" w:sz="0" w:space="0"/>
            <w:bottom w:val="none" w:sz="0" w:space="0"/>
            <w:right w:val="none" w:sz="0" w:space="0"/>
          </w:pgBorders>
          <w:pgNumType w:fmt="decimal" w:start="10"/>
          <w:cols w:space="425" w:num="1"/>
          <w:docGrid w:type="lines" w:linePitch="312" w:charSpace="0"/>
        </w:sectPr>
      </w:pPr>
    </w:p>
    <w:p w14:paraId="35A1FF37">
      <w:pPr>
        <w:pStyle w:val="8"/>
        <w:rPr>
          <w:rFonts w:ascii="黑体" w:hAnsi="黑体" w:eastAsia="黑体"/>
          <w:b/>
          <w:sz w:val="32"/>
          <w:szCs w:val="32"/>
          <w:lang w:val="zh-CN"/>
        </w:rPr>
      </w:pPr>
      <w:r>
        <w:rPr>
          <w:rFonts w:ascii="黑体" w:hAnsi="黑体" w:eastAsia="黑体"/>
          <w:b/>
          <w:sz w:val="32"/>
          <w:szCs w:val="32"/>
          <w:lang w:val="zh-CN"/>
        </w:rPr>
        <w:t>济南政务云计算中心云服务资源需求表</w:t>
      </w:r>
    </w:p>
    <w:tbl>
      <w:tblPr>
        <w:tblStyle w:val="1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109"/>
        <w:gridCol w:w="1417"/>
        <w:gridCol w:w="1577"/>
        <w:gridCol w:w="1134"/>
        <w:gridCol w:w="1985"/>
      </w:tblGrid>
      <w:tr w14:paraId="151D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20" w:type="dxa"/>
            <w:vAlign w:val="center"/>
          </w:tcPr>
          <w:p w14:paraId="1BB65F58">
            <w:pPr>
              <w:spacing w:beforeLines="0" w:afterLines="0" w:line="579" w:lineRule="exact"/>
              <w:jc w:val="center"/>
              <w:rPr>
                <w:b/>
                <w:color w:val="000000"/>
                <w:sz w:val="24"/>
              </w:rPr>
            </w:pPr>
            <w:bookmarkStart w:id="2" w:name="_Toc367450187"/>
            <w:bookmarkStart w:id="3" w:name="_Toc367450556"/>
            <w:bookmarkStart w:id="4" w:name="_Toc367446539"/>
            <w:r>
              <w:rPr>
                <w:rFonts w:hint="eastAsia"/>
                <w:b/>
                <w:color w:val="000000"/>
                <w:sz w:val="24"/>
              </w:rPr>
              <w:t>单位名称</w:t>
            </w:r>
          </w:p>
        </w:tc>
        <w:tc>
          <w:tcPr>
            <w:tcW w:w="8222" w:type="dxa"/>
            <w:gridSpan w:val="5"/>
            <w:vAlign w:val="center"/>
          </w:tcPr>
          <w:p w14:paraId="14AB8786">
            <w:pPr>
              <w:spacing w:beforeLines="0" w:afterLines="0" w:line="579" w:lineRule="exact"/>
              <w:rPr>
                <w:color w:val="000000"/>
                <w:szCs w:val="21"/>
              </w:rPr>
            </w:pPr>
          </w:p>
        </w:tc>
      </w:tr>
      <w:tr w14:paraId="1F60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20" w:type="dxa"/>
            <w:vAlign w:val="center"/>
          </w:tcPr>
          <w:p w14:paraId="390A8083">
            <w:pPr>
              <w:jc w:val="center"/>
              <w:rPr>
                <w:b/>
                <w:color w:val="000000"/>
                <w:sz w:val="24"/>
              </w:rPr>
            </w:pPr>
            <w:r>
              <w:rPr>
                <w:rFonts w:hint="eastAsia"/>
                <w:b/>
                <w:color w:val="000000"/>
                <w:sz w:val="24"/>
              </w:rPr>
              <w:t>信息化负责人</w:t>
            </w:r>
          </w:p>
        </w:tc>
        <w:tc>
          <w:tcPr>
            <w:tcW w:w="2109" w:type="dxa"/>
            <w:vAlign w:val="center"/>
          </w:tcPr>
          <w:p w14:paraId="163185C3">
            <w:pPr>
              <w:rPr>
                <w:color w:val="000000"/>
                <w:szCs w:val="21"/>
              </w:rPr>
            </w:pPr>
          </w:p>
        </w:tc>
        <w:tc>
          <w:tcPr>
            <w:tcW w:w="1417" w:type="dxa"/>
            <w:vAlign w:val="center"/>
          </w:tcPr>
          <w:p w14:paraId="30069BF6">
            <w:pPr>
              <w:jc w:val="center"/>
              <w:rPr>
                <w:b/>
                <w:color w:val="000000"/>
                <w:sz w:val="24"/>
              </w:rPr>
            </w:pPr>
            <w:r>
              <w:rPr>
                <w:rFonts w:hint="eastAsia"/>
                <w:b/>
                <w:color w:val="000000"/>
                <w:sz w:val="24"/>
              </w:rPr>
              <w:t>联系电话</w:t>
            </w:r>
          </w:p>
        </w:tc>
        <w:tc>
          <w:tcPr>
            <w:tcW w:w="1577" w:type="dxa"/>
            <w:vAlign w:val="center"/>
          </w:tcPr>
          <w:p w14:paraId="40795E2D">
            <w:pPr>
              <w:rPr>
                <w:color w:val="000000"/>
                <w:szCs w:val="21"/>
              </w:rPr>
            </w:pPr>
          </w:p>
        </w:tc>
        <w:tc>
          <w:tcPr>
            <w:tcW w:w="1134" w:type="dxa"/>
            <w:vAlign w:val="center"/>
          </w:tcPr>
          <w:p w14:paraId="5672840F">
            <w:pPr>
              <w:jc w:val="center"/>
              <w:rPr>
                <w:b/>
                <w:color w:val="000000"/>
                <w:sz w:val="24"/>
              </w:rPr>
            </w:pPr>
            <w:r>
              <w:rPr>
                <w:rFonts w:hint="eastAsia"/>
                <w:b/>
                <w:color w:val="000000"/>
                <w:sz w:val="24"/>
              </w:rPr>
              <w:t>邮箱</w:t>
            </w:r>
          </w:p>
        </w:tc>
        <w:tc>
          <w:tcPr>
            <w:tcW w:w="1985" w:type="dxa"/>
            <w:vAlign w:val="center"/>
          </w:tcPr>
          <w:p w14:paraId="41FC409C">
            <w:pPr>
              <w:rPr>
                <w:color w:val="000000"/>
                <w:szCs w:val="21"/>
              </w:rPr>
            </w:pPr>
          </w:p>
        </w:tc>
      </w:tr>
      <w:tr w14:paraId="0382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0" w:type="dxa"/>
            <w:vAlign w:val="center"/>
          </w:tcPr>
          <w:p w14:paraId="43A24716">
            <w:pPr>
              <w:jc w:val="center"/>
              <w:rPr>
                <w:b/>
                <w:color w:val="000000"/>
                <w:sz w:val="24"/>
              </w:rPr>
            </w:pPr>
            <w:r>
              <w:rPr>
                <w:rFonts w:hint="eastAsia"/>
                <w:b/>
                <w:color w:val="000000"/>
                <w:sz w:val="24"/>
              </w:rPr>
              <w:t>联系人</w:t>
            </w:r>
          </w:p>
        </w:tc>
        <w:tc>
          <w:tcPr>
            <w:tcW w:w="2109" w:type="dxa"/>
            <w:vAlign w:val="center"/>
          </w:tcPr>
          <w:p w14:paraId="6299C062">
            <w:pPr>
              <w:rPr>
                <w:color w:val="000000"/>
                <w:sz w:val="24"/>
              </w:rPr>
            </w:pPr>
          </w:p>
        </w:tc>
        <w:tc>
          <w:tcPr>
            <w:tcW w:w="1417" w:type="dxa"/>
            <w:vAlign w:val="center"/>
          </w:tcPr>
          <w:p w14:paraId="5C1EDDD8">
            <w:pPr>
              <w:jc w:val="center"/>
              <w:rPr>
                <w:b/>
                <w:color w:val="000000"/>
                <w:sz w:val="24"/>
              </w:rPr>
            </w:pPr>
            <w:r>
              <w:rPr>
                <w:rFonts w:hint="eastAsia"/>
                <w:b/>
                <w:color w:val="000000"/>
                <w:sz w:val="24"/>
              </w:rPr>
              <w:t>联系电话</w:t>
            </w:r>
          </w:p>
        </w:tc>
        <w:tc>
          <w:tcPr>
            <w:tcW w:w="1577" w:type="dxa"/>
            <w:vAlign w:val="center"/>
          </w:tcPr>
          <w:p w14:paraId="39824E7D">
            <w:pPr>
              <w:rPr>
                <w:color w:val="000000"/>
                <w:szCs w:val="21"/>
              </w:rPr>
            </w:pPr>
          </w:p>
        </w:tc>
        <w:tc>
          <w:tcPr>
            <w:tcW w:w="1134" w:type="dxa"/>
            <w:vAlign w:val="center"/>
          </w:tcPr>
          <w:p w14:paraId="4C731373">
            <w:pPr>
              <w:jc w:val="center"/>
              <w:rPr>
                <w:b/>
                <w:color w:val="000000"/>
                <w:sz w:val="24"/>
              </w:rPr>
            </w:pPr>
            <w:r>
              <w:rPr>
                <w:rFonts w:hint="eastAsia"/>
                <w:b/>
                <w:color w:val="000000"/>
                <w:sz w:val="24"/>
              </w:rPr>
              <w:t>邮箱</w:t>
            </w:r>
          </w:p>
        </w:tc>
        <w:tc>
          <w:tcPr>
            <w:tcW w:w="1985" w:type="dxa"/>
            <w:vAlign w:val="center"/>
          </w:tcPr>
          <w:p w14:paraId="0C5F28D9">
            <w:pPr>
              <w:rPr>
                <w:color w:val="000000"/>
                <w:szCs w:val="21"/>
              </w:rPr>
            </w:pPr>
          </w:p>
        </w:tc>
      </w:tr>
      <w:tr w14:paraId="0315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20" w:type="dxa"/>
            <w:vAlign w:val="center"/>
          </w:tcPr>
          <w:p w14:paraId="3707F541">
            <w:pPr>
              <w:jc w:val="center"/>
              <w:rPr>
                <w:b/>
                <w:color w:val="000000"/>
                <w:sz w:val="24"/>
              </w:rPr>
            </w:pPr>
            <w:r>
              <w:rPr>
                <w:rFonts w:hint="eastAsia"/>
                <w:b/>
                <w:color w:val="000000"/>
                <w:sz w:val="24"/>
              </w:rPr>
              <w:t>系统名称</w:t>
            </w:r>
          </w:p>
        </w:tc>
        <w:tc>
          <w:tcPr>
            <w:tcW w:w="5103" w:type="dxa"/>
            <w:gridSpan w:val="3"/>
            <w:vAlign w:val="center"/>
          </w:tcPr>
          <w:p w14:paraId="152C1F30">
            <w:pPr>
              <w:rPr>
                <w:color w:val="000000"/>
                <w:szCs w:val="21"/>
              </w:rPr>
            </w:pPr>
            <w:r>
              <w:rPr>
                <w:rFonts w:hint="eastAsia"/>
                <w:color w:val="000000"/>
                <w:szCs w:val="21"/>
              </w:rPr>
              <w:t>例：xx局OA办公系统</w:t>
            </w:r>
          </w:p>
        </w:tc>
        <w:tc>
          <w:tcPr>
            <w:tcW w:w="1134" w:type="dxa"/>
            <w:vAlign w:val="center"/>
          </w:tcPr>
          <w:p w14:paraId="3B485354">
            <w:pPr>
              <w:spacing w:line="360" w:lineRule="exact"/>
              <w:jc w:val="center"/>
              <w:rPr>
                <w:b/>
                <w:color w:val="000000"/>
                <w:sz w:val="24"/>
              </w:rPr>
            </w:pPr>
            <w:r>
              <w:rPr>
                <w:rFonts w:hint="eastAsia"/>
                <w:b/>
                <w:color w:val="000000"/>
                <w:sz w:val="24"/>
              </w:rPr>
              <w:t>计划</w:t>
            </w:r>
            <w:r>
              <w:rPr>
                <w:b/>
                <w:color w:val="000000"/>
                <w:sz w:val="24"/>
              </w:rPr>
              <w:t>使</w:t>
            </w:r>
          </w:p>
          <w:p w14:paraId="50F8C28A">
            <w:pPr>
              <w:spacing w:line="360" w:lineRule="exact"/>
              <w:jc w:val="center"/>
              <w:rPr>
                <w:color w:val="000000"/>
                <w:szCs w:val="21"/>
              </w:rPr>
            </w:pPr>
            <w:r>
              <w:rPr>
                <w:b/>
                <w:color w:val="000000"/>
                <w:sz w:val="24"/>
              </w:rPr>
              <w:t>用时间</w:t>
            </w:r>
          </w:p>
        </w:tc>
        <w:tc>
          <w:tcPr>
            <w:tcW w:w="1985" w:type="dxa"/>
            <w:vAlign w:val="center"/>
          </w:tcPr>
          <w:p w14:paraId="7B884235">
            <w:pPr>
              <w:rPr>
                <w:color w:val="000000"/>
                <w:szCs w:val="21"/>
              </w:rPr>
            </w:pPr>
          </w:p>
        </w:tc>
      </w:tr>
      <w:tr w14:paraId="6809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20" w:type="dxa"/>
            <w:vAlign w:val="center"/>
          </w:tcPr>
          <w:p w14:paraId="76FF8D80">
            <w:pPr>
              <w:jc w:val="center"/>
              <w:rPr>
                <w:b/>
                <w:color w:val="000000"/>
                <w:sz w:val="24"/>
              </w:rPr>
            </w:pPr>
            <w:r>
              <w:rPr>
                <w:rFonts w:hint="eastAsia"/>
                <w:b/>
                <w:color w:val="000000"/>
                <w:sz w:val="24"/>
              </w:rPr>
              <w:t>主要用途</w:t>
            </w:r>
          </w:p>
        </w:tc>
        <w:tc>
          <w:tcPr>
            <w:tcW w:w="8222" w:type="dxa"/>
            <w:gridSpan w:val="5"/>
            <w:vAlign w:val="center"/>
          </w:tcPr>
          <w:p w14:paraId="67971AA1">
            <w:pPr>
              <w:rPr>
                <w:color w:val="000000"/>
                <w:szCs w:val="21"/>
              </w:rPr>
            </w:pPr>
            <w:r>
              <w:rPr>
                <w:rFonts w:hint="eastAsia"/>
                <w:color w:val="000000"/>
                <w:szCs w:val="21"/>
              </w:rPr>
              <w:t>例：用于公文发文拟稿、发文上报、发文审核、发文签发等相关内容签章及电子手签章</w:t>
            </w:r>
          </w:p>
        </w:tc>
      </w:tr>
      <w:tr w14:paraId="78E2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20" w:type="dxa"/>
            <w:vMerge w:val="restart"/>
            <w:vAlign w:val="center"/>
          </w:tcPr>
          <w:p w14:paraId="50923EEC">
            <w:pPr>
              <w:jc w:val="center"/>
              <w:rPr>
                <w:b/>
                <w:color w:val="000000"/>
                <w:szCs w:val="21"/>
              </w:rPr>
            </w:pPr>
            <w:r>
              <w:rPr>
                <w:rFonts w:hint="eastAsia" w:ascii="宋体" w:hAnsi="宋体"/>
                <w:b/>
                <w:color w:val="000000"/>
                <w:szCs w:val="21"/>
              </w:rPr>
              <w:t>申请业务</w:t>
            </w:r>
          </w:p>
          <w:p w14:paraId="03C82A83">
            <w:pPr>
              <w:jc w:val="center"/>
              <w:rPr>
                <w:b/>
                <w:color w:val="000000"/>
                <w:szCs w:val="21"/>
              </w:rPr>
            </w:pPr>
            <w:r>
              <w:rPr>
                <w:rFonts w:hint="eastAsia" w:ascii="宋体" w:hAnsi="宋体"/>
                <w:b/>
                <w:color w:val="000000"/>
                <w:szCs w:val="21"/>
              </w:rPr>
              <w:t>类型</w:t>
            </w:r>
          </w:p>
        </w:tc>
        <w:tc>
          <w:tcPr>
            <w:tcW w:w="8222" w:type="dxa"/>
            <w:gridSpan w:val="5"/>
            <w:vAlign w:val="center"/>
          </w:tcPr>
          <w:p w14:paraId="268CC26F">
            <w:pPr>
              <w:spacing w:line="480" w:lineRule="exact"/>
              <w:rPr>
                <w:color w:val="000000"/>
              </w:rPr>
            </w:pPr>
            <w:bookmarkStart w:id="5" w:name="_1788608162"/>
            <w:bookmarkEnd w:id="5"/>
            <w:bookmarkStart w:id="6" w:name="_1456653839"/>
            <w:bookmarkEnd w:id="6"/>
            <w:bookmarkStart w:id="7" w:name="_1456654190"/>
            <w:bookmarkEnd w:id="7"/>
            <w:r>
              <w:rPr>
                <w:color w:val="000000"/>
                <w:szCs w:val="21"/>
              </w:rPr>
              <w:drawing>
                <wp:inline distT="0" distB="0" distL="114300" distR="114300">
                  <wp:extent cx="800100" cy="20955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pic:cNvPicPr>
                        </pic:nvPicPr>
                        <pic:blipFill>
                          <a:blip r:embed="rId8"/>
                          <a:stretch>
                            <a:fillRect/>
                          </a:stretch>
                        </pic:blipFill>
                        <pic:spPr>
                          <a:xfrm>
                            <a:off x="0" y="0"/>
                            <a:ext cx="800100" cy="209550"/>
                          </a:xfrm>
                          <a:prstGeom prst="rect">
                            <a:avLst/>
                          </a:prstGeom>
                          <a:noFill/>
                          <a:ln>
                            <a:noFill/>
                          </a:ln>
                        </pic:spPr>
                      </pic:pic>
                    </a:graphicData>
                  </a:graphic>
                </wp:inline>
              </w:drawing>
            </w:r>
            <w:bookmarkStart w:id="8" w:name="_1788608164"/>
            <w:bookmarkEnd w:id="8"/>
            <w:r>
              <w:rPr>
                <w:color w:val="000000"/>
                <w:szCs w:val="21"/>
              </w:rPr>
              <w:drawing>
                <wp:inline distT="0" distB="0" distL="114300" distR="114300">
                  <wp:extent cx="641350" cy="228600"/>
                  <wp:effectExtent l="0" t="0" r="6350" b="0"/>
                  <wp:docPr id="5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7"/>
                          <pic:cNvPicPr>
                            <a:picLocks noChangeAspect="1"/>
                          </pic:cNvPicPr>
                        </pic:nvPicPr>
                        <pic:blipFill>
                          <a:blip r:embed="rId9"/>
                          <a:stretch>
                            <a:fillRect/>
                          </a:stretch>
                        </pic:blipFill>
                        <pic:spPr>
                          <a:xfrm>
                            <a:off x="0" y="0"/>
                            <a:ext cx="641350" cy="228600"/>
                          </a:xfrm>
                          <a:prstGeom prst="rect">
                            <a:avLst/>
                          </a:prstGeom>
                          <a:noFill/>
                          <a:ln>
                            <a:noFill/>
                          </a:ln>
                        </pic:spPr>
                      </pic:pic>
                    </a:graphicData>
                  </a:graphic>
                </wp:inline>
              </w:drawing>
            </w:r>
            <w:bookmarkStart w:id="9" w:name="_1456654189"/>
            <w:bookmarkEnd w:id="9"/>
            <w:r>
              <w:rPr>
                <w:rFonts w:ascii="宋体" w:hAnsi="宋体"/>
                <w:color w:val="000000"/>
                <w:szCs w:val="21"/>
              </w:rPr>
              <w:t xml:space="preserve"> </w:t>
            </w:r>
            <w:bookmarkStart w:id="10" w:name="_1788608488"/>
            <w:bookmarkEnd w:id="10"/>
            <w:r>
              <w:rPr>
                <w:color w:val="000000"/>
                <w:szCs w:val="21"/>
              </w:rPr>
              <w:drawing>
                <wp:inline distT="0" distB="0" distL="114300" distR="114300">
                  <wp:extent cx="654050" cy="234950"/>
                  <wp:effectExtent l="0" t="0" r="12700" b="12700"/>
                  <wp:docPr id="4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8"/>
                          <pic:cNvPicPr>
                            <a:picLocks noChangeAspect="1"/>
                          </pic:cNvPicPr>
                        </pic:nvPicPr>
                        <pic:blipFill>
                          <a:blip r:embed="rId10"/>
                          <a:stretch>
                            <a:fillRect/>
                          </a:stretch>
                        </pic:blipFill>
                        <pic:spPr>
                          <a:xfrm>
                            <a:off x="0" y="0"/>
                            <a:ext cx="654050" cy="234950"/>
                          </a:xfrm>
                          <a:prstGeom prst="rect">
                            <a:avLst/>
                          </a:prstGeom>
                          <a:noFill/>
                          <a:ln>
                            <a:noFill/>
                          </a:ln>
                        </pic:spPr>
                      </pic:pic>
                    </a:graphicData>
                  </a:graphic>
                </wp:inline>
              </w:drawing>
            </w:r>
            <w:bookmarkStart w:id="11" w:name="_1788608487"/>
            <w:bookmarkEnd w:id="11"/>
            <w:bookmarkStart w:id="12" w:name="_1456657126"/>
            <w:bookmarkEnd w:id="12"/>
            <w:r>
              <w:rPr>
                <w:color w:val="000000"/>
                <w:szCs w:val="21"/>
              </w:rPr>
              <w:drawing>
                <wp:inline distT="0" distB="0" distL="114300" distR="114300">
                  <wp:extent cx="628650" cy="228600"/>
                  <wp:effectExtent l="0" t="0" r="0" b="0"/>
                  <wp:docPr id="5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9"/>
                          <pic:cNvPicPr>
                            <a:picLocks noChangeAspect="1"/>
                          </pic:cNvPicPr>
                        </pic:nvPicPr>
                        <pic:blipFill>
                          <a:blip r:embed="rId11"/>
                          <a:stretch>
                            <a:fillRect/>
                          </a:stretch>
                        </pic:blipFill>
                        <pic:spPr>
                          <a:xfrm>
                            <a:off x="0" y="0"/>
                            <a:ext cx="628650" cy="228600"/>
                          </a:xfrm>
                          <a:prstGeom prst="rect">
                            <a:avLst/>
                          </a:prstGeom>
                          <a:noFill/>
                          <a:ln>
                            <a:noFill/>
                          </a:ln>
                        </pic:spPr>
                      </pic:pic>
                    </a:graphicData>
                  </a:graphic>
                </wp:inline>
              </w:drawing>
            </w:r>
            <w:bookmarkStart w:id="13" w:name="_1456665146"/>
            <w:bookmarkEnd w:id="13"/>
            <w:r>
              <w:rPr>
                <w:rFonts w:ascii="宋体" w:hAnsi="宋体"/>
                <w:color w:val="000000"/>
                <w:szCs w:val="21"/>
              </w:rPr>
              <w:t xml:space="preserve"> </w:t>
            </w:r>
            <w:bookmarkStart w:id="14" w:name="_1788608170"/>
            <w:bookmarkEnd w:id="14"/>
            <w:r>
              <w:rPr>
                <w:color w:val="000000"/>
              </w:rPr>
              <w:drawing>
                <wp:inline distT="0" distB="0" distL="114300" distR="114300">
                  <wp:extent cx="920750" cy="228600"/>
                  <wp:effectExtent l="0" t="0" r="12700" b="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pic:cNvPicPr>
                            <a:picLocks noChangeAspect="1"/>
                          </pic:cNvPicPr>
                        </pic:nvPicPr>
                        <pic:blipFill>
                          <a:blip r:embed="rId12"/>
                          <a:stretch>
                            <a:fillRect/>
                          </a:stretch>
                        </pic:blipFill>
                        <pic:spPr>
                          <a:xfrm>
                            <a:off x="0" y="0"/>
                            <a:ext cx="920750" cy="228600"/>
                          </a:xfrm>
                          <a:prstGeom prst="rect">
                            <a:avLst/>
                          </a:prstGeom>
                          <a:noFill/>
                          <a:ln>
                            <a:noFill/>
                          </a:ln>
                        </pic:spPr>
                      </pic:pic>
                    </a:graphicData>
                  </a:graphic>
                </wp:inline>
              </w:drawing>
            </w:r>
            <w:bookmarkStart w:id="15" w:name="_1456657381"/>
            <w:bookmarkEnd w:id="15"/>
            <w:bookmarkStart w:id="16" w:name="_1788608484"/>
            <w:bookmarkEnd w:id="16"/>
            <w:r>
              <w:rPr>
                <w:color w:val="000000"/>
              </w:rPr>
              <w:drawing>
                <wp:inline distT="0" distB="0" distL="114300" distR="114300">
                  <wp:extent cx="787400" cy="228600"/>
                  <wp:effectExtent l="0" t="0" r="12700" b="0"/>
                  <wp:docPr id="4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1"/>
                          <pic:cNvPicPr>
                            <a:picLocks noChangeAspect="1"/>
                          </pic:cNvPicPr>
                        </pic:nvPicPr>
                        <pic:blipFill>
                          <a:blip r:embed="rId13"/>
                          <a:stretch>
                            <a:fillRect/>
                          </a:stretch>
                        </pic:blipFill>
                        <pic:spPr>
                          <a:xfrm>
                            <a:off x="0" y="0"/>
                            <a:ext cx="787400" cy="228600"/>
                          </a:xfrm>
                          <a:prstGeom prst="rect">
                            <a:avLst/>
                          </a:prstGeom>
                          <a:noFill/>
                          <a:ln>
                            <a:noFill/>
                          </a:ln>
                        </pic:spPr>
                      </pic:pic>
                    </a:graphicData>
                  </a:graphic>
                </wp:inline>
              </w:drawing>
            </w:r>
            <w:bookmarkStart w:id="17" w:name="_1788608483"/>
            <w:bookmarkEnd w:id="17"/>
            <w:r>
              <w:rPr>
                <w:color w:val="000000"/>
              </w:rPr>
              <w:drawing>
                <wp:inline distT="0" distB="0" distL="114300" distR="114300">
                  <wp:extent cx="482600" cy="228600"/>
                  <wp:effectExtent l="0" t="0" r="12700" b="0"/>
                  <wp:docPr id="5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2"/>
                          <pic:cNvPicPr>
                            <a:picLocks noChangeAspect="1"/>
                          </pic:cNvPicPr>
                        </pic:nvPicPr>
                        <pic:blipFill>
                          <a:blip r:embed="rId14"/>
                          <a:stretch>
                            <a:fillRect/>
                          </a:stretch>
                        </pic:blipFill>
                        <pic:spPr>
                          <a:xfrm>
                            <a:off x="0" y="0"/>
                            <a:ext cx="482600" cy="228600"/>
                          </a:xfrm>
                          <a:prstGeom prst="rect">
                            <a:avLst/>
                          </a:prstGeom>
                          <a:noFill/>
                          <a:ln>
                            <a:noFill/>
                          </a:ln>
                        </pic:spPr>
                      </pic:pic>
                    </a:graphicData>
                  </a:graphic>
                </wp:inline>
              </w:drawing>
            </w:r>
          </w:p>
        </w:tc>
      </w:tr>
      <w:tr w14:paraId="5662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20" w:type="dxa"/>
            <w:vMerge w:val="continue"/>
            <w:vAlign w:val="center"/>
          </w:tcPr>
          <w:p w14:paraId="01007D82">
            <w:pPr>
              <w:spacing w:beforeLines="0" w:afterLines="0" w:line="579" w:lineRule="exact"/>
              <w:rPr>
                <w:b/>
                <w:color w:val="000000"/>
                <w:szCs w:val="21"/>
              </w:rPr>
            </w:pPr>
          </w:p>
        </w:tc>
        <w:tc>
          <w:tcPr>
            <w:tcW w:w="8222" w:type="dxa"/>
            <w:gridSpan w:val="5"/>
            <w:vAlign w:val="center"/>
          </w:tcPr>
          <w:p w14:paraId="27ABA7AE">
            <w:pPr>
              <w:spacing w:beforeLines="0" w:afterLines="0" w:line="579" w:lineRule="exact"/>
              <w:rPr>
                <w:color w:val="000000"/>
                <w:szCs w:val="21"/>
              </w:rPr>
            </w:pPr>
            <w:bookmarkStart w:id="18" w:name="_1456654051"/>
            <w:bookmarkEnd w:id="18"/>
            <w:bookmarkStart w:id="19" w:name="_1456654072"/>
            <w:bookmarkEnd w:id="19"/>
            <w:r>
              <w:rPr>
                <w:color w:val="000000"/>
              </w:rPr>
              <w:drawing>
                <wp:inline distT="0" distB="0" distL="114300" distR="114300">
                  <wp:extent cx="628650" cy="228600"/>
                  <wp:effectExtent l="0" t="0" r="0" b="0"/>
                  <wp:docPr id="4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3"/>
                          <pic:cNvPicPr>
                            <a:picLocks noChangeAspect="1"/>
                          </pic:cNvPicPr>
                        </pic:nvPicPr>
                        <pic:blipFill>
                          <a:blip r:embed="rId15"/>
                          <a:stretch>
                            <a:fillRect/>
                          </a:stretch>
                        </pic:blipFill>
                        <pic:spPr>
                          <a:xfrm>
                            <a:off x="0" y="0"/>
                            <a:ext cx="628650" cy="228600"/>
                          </a:xfrm>
                          <a:prstGeom prst="rect">
                            <a:avLst/>
                          </a:prstGeom>
                          <a:noFill/>
                          <a:ln>
                            <a:noFill/>
                          </a:ln>
                        </pic:spPr>
                      </pic:pic>
                    </a:graphicData>
                  </a:graphic>
                </wp:inline>
              </w:drawing>
            </w:r>
            <w:bookmarkStart w:id="20" w:name="_1456654097"/>
            <w:bookmarkEnd w:id="20"/>
            <w:r>
              <w:rPr>
                <w:color w:val="000000"/>
              </w:rPr>
              <w:t xml:space="preserve"> </w:t>
            </w:r>
            <w:bookmarkStart w:id="21" w:name="_1788608481"/>
            <w:bookmarkEnd w:id="21"/>
            <w:r>
              <w:rPr>
                <w:color w:val="000000"/>
              </w:rPr>
              <w:drawing>
                <wp:inline distT="0" distB="0" distL="114300" distR="114300">
                  <wp:extent cx="660400" cy="234950"/>
                  <wp:effectExtent l="0" t="0" r="6350" b="1270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6"/>
                          <a:stretch>
                            <a:fillRect/>
                          </a:stretch>
                        </pic:blipFill>
                        <pic:spPr>
                          <a:xfrm>
                            <a:off x="0" y="0"/>
                            <a:ext cx="660400" cy="234950"/>
                          </a:xfrm>
                          <a:prstGeom prst="rect">
                            <a:avLst/>
                          </a:prstGeom>
                          <a:noFill/>
                          <a:ln>
                            <a:noFill/>
                          </a:ln>
                        </pic:spPr>
                      </pic:pic>
                    </a:graphicData>
                  </a:graphic>
                </wp:inline>
              </w:drawing>
            </w:r>
            <w:r>
              <w:rPr>
                <w:color w:val="000000"/>
              </w:rPr>
              <w:t xml:space="preserve"> </w:t>
            </w:r>
            <w:bookmarkStart w:id="22" w:name="_1788608181"/>
            <w:bookmarkEnd w:id="22"/>
            <w:r>
              <w:rPr>
                <w:color w:val="000000"/>
              </w:rPr>
              <w:drawing>
                <wp:inline distT="0" distB="0" distL="114300" distR="114300">
                  <wp:extent cx="622300" cy="228600"/>
                  <wp:effectExtent l="0" t="0" r="6350" b="0"/>
                  <wp:docPr id="5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5"/>
                          <pic:cNvPicPr>
                            <a:picLocks noChangeAspect="1"/>
                          </pic:cNvPicPr>
                        </pic:nvPicPr>
                        <pic:blipFill>
                          <a:blip r:embed="rId17"/>
                          <a:stretch>
                            <a:fillRect/>
                          </a:stretch>
                        </pic:blipFill>
                        <pic:spPr>
                          <a:xfrm>
                            <a:off x="0" y="0"/>
                            <a:ext cx="622300" cy="228600"/>
                          </a:xfrm>
                          <a:prstGeom prst="rect">
                            <a:avLst/>
                          </a:prstGeom>
                          <a:noFill/>
                          <a:ln>
                            <a:noFill/>
                          </a:ln>
                        </pic:spPr>
                      </pic:pic>
                    </a:graphicData>
                  </a:graphic>
                </wp:inline>
              </w:drawing>
            </w:r>
            <w:r>
              <w:rPr>
                <w:color w:val="000000"/>
              </w:rPr>
              <w:t xml:space="preserve"> </w:t>
            </w:r>
            <w:bookmarkStart w:id="23" w:name="_1788608479"/>
            <w:bookmarkEnd w:id="23"/>
            <w:r>
              <w:rPr>
                <w:color w:val="000000"/>
              </w:rPr>
              <w:drawing>
                <wp:inline distT="0" distB="0" distL="114300" distR="114300">
                  <wp:extent cx="933450" cy="228600"/>
                  <wp:effectExtent l="0" t="0" r="0" b="0"/>
                  <wp:docPr id="5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6"/>
                          <pic:cNvPicPr>
                            <a:picLocks noChangeAspect="1"/>
                          </pic:cNvPicPr>
                        </pic:nvPicPr>
                        <pic:blipFill>
                          <a:blip r:embed="rId18"/>
                          <a:stretch>
                            <a:fillRect/>
                          </a:stretch>
                        </pic:blipFill>
                        <pic:spPr>
                          <a:xfrm>
                            <a:off x="0" y="0"/>
                            <a:ext cx="933450" cy="228600"/>
                          </a:xfrm>
                          <a:prstGeom prst="rect">
                            <a:avLst/>
                          </a:prstGeom>
                          <a:noFill/>
                          <a:ln>
                            <a:noFill/>
                          </a:ln>
                        </pic:spPr>
                      </pic:pic>
                    </a:graphicData>
                  </a:graphic>
                </wp:inline>
              </w:drawing>
            </w:r>
            <w:bookmarkStart w:id="24" w:name="_1788608478"/>
            <w:bookmarkEnd w:id="24"/>
            <w:r>
              <w:rPr>
                <w:color w:val="000000"/>
              </w:rPr>
              <w:drawing>
                <wp:inline distT="0" distB="0" distL="114300" distR="114300">
                  <wp:extent cx="1060450" cy="228600"/>
                  <wp:effectExtent l="0" t="0" r="6350" b="0"/>
                  <wp:docPr id="5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7"/>
                          <pic:cNvPicPr>
                            <a:picLocks noChangeAspect="1"/>
                          </pic:cNvPicPr>
                        </pic:nvPicPr>
                        <pic:blipFill>
                          <a:blip r:embed="rId19"/>
                          <a:stretch>
                            <a:fillRect/>
                          </a:stretch>
                        </pic:blipFill>
                        <pic:spPr>
                          <a:xfrm>
                            <a:off x="0" y="0"/>
                            <a:ext cx="1060450" cy="228600"/>
                          </a:xfrm>
                          <a:prstGeom prst="rect">
                            <a:avLst/>
                          </a:prstGeom>
                          <a:noFill/>
                          <a:ln>
                            <a:noFill/>
                          </a:ln>
                        </pic:spPr>
                      </pic:pic>
                    </a:graphicData>
                  </a:graphic>
                </wp:inline>
              </w:drawing>
            </w:r>
            <w:bookmarkStart w:id="25" w:name="_1788608477"/>
            <w:bookmarkEnd w:id="25"/>
            <w:r>
              <w:rPr>
                <w:color w:val="000000"/>
              </w:rPr>
              <w:drawing>
                <wp:inline distT="0" distB="0" distL="114300" distR="114300">
                  <wp:extent cx="552450" cy="228600"/>
                  <wp:effectExtent l="0" t="0" r="0" b="0"/>
                  <wp:docPr id="4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8"/>
                          <pic:cNvPicPr>
                            <a:picLocks noChangeAspect="1"/>
                          </pic:cNvPicPr>
                        </pic:nvPicPr>
                        <pic:blipFill>
                          <a:blip r:embed="rId20"/>
                          <a:stretch>
                            <a:fillRect/>
                          </a:stretch>
                        </pic:blipFill>
                        <pic:spPr>
                          <a:xfrm>
                            <a:off x="0" y="0"/>
                            <a:ext cx="552450" cy="228600"/>
                          </a:xfrm>
                          <a:prstGeom prst="rect">
                            <a:avLst/>
                          </a:prstGeom>
                          <a:noFill/>
                          <a:ln>
                            <a:noFill/>
                          </a:ln>
                        </pic:spPr>
                      </pic:pic>
                    </a:graphicData>
                  </a:graphic>
                </wp:inline>
              </w:drawing>
            </w:r>
          </w:p>
        </w:tc>
      </w:tr>
      <w:tr w14:paraId="21F1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20" w:type="dxa"/>
            <w:vMerge w:val="continue"/>
            <w:vAlign w:val="center"/>
          </w:tcPr>
          <w:p w14:paraId="2C912A05">
            <w:pPr>
              <w:spacing w:beforeLines="0" w:afterLines="0" w:line="579" w:lineRule="exact"/>
              <w:rPr>
                <w:b/>
                <w:color w:val="000000"/>
                <w:szCs w:val="21"/>
              </w:rPr>
            </w:pPr>
          </w:p>
        </w:tc>
        <w:tc>
          <w:tcPr>
            <w:tcW w:w="8222" w:type="dxa"/>
            <w:gridSpan w:val="5"/>
            <w:vAlign w:val="center"/>
          </w:tcPr>
          <w:p w14:paraId="5A03D1BB">
            <w:pPr>
              <w:spacing w:beforeLines="0" w:afterLines="0" w:line="579" w:lineRule="exact"/>
              <w:rPr>
                <w:color w:val="000000"/>
              </w:rPr>
            </w:pPr>
            <w:bookmarkStart w:id="26" w:name="_1788608189"/>
            <w:bookmarkEnd w:id="26"/>
            <w:r>
              <w:rPr>
                <w:color w:val="000000"/>
                <w:sz w:val="18"/>
                <w:szCs w:val="18"/>
              </w:rPr>
              <w:drawing>
                <wp:inline distT="0" distB="0" distL="114300" distR="114300">
                  <wp:extent cx="1041400" cy="228600"/>
                  <wp:effectExtent l="0" t="0" r="6350" b="0"/>
                  <wp:docPr id="4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9"/>
                          <pic:cNvPicPr>
                            <a:picLocks noChangeAspect="1"/>
                          </pic:cNvPicPr>
                        </pic:nvPicPr>
                        <pic:blipFill>
                          <a:blip r:embed="rId21"/>
                          <a:stretch>
                            <a:fillRect/>
                          </a:stretch>
                        </pic:blipFill>
                        <pic:spPr>
                          <a:xfrm>
                            <a:off x="0" y="0"/>
                            <a:ext cx="1041400" cy="228600"/>
                          </a:xfrm>
                          <a:prstGeom prst="rect">
                            <a:avLst/>
                          </a:prstGeom>
                          <a:noFill/>
                          <a:ln>
                            <a:noFill/>
                          </a:ln>
                        </pic:spPr>
                      </pic:pic>
                    </a:graphicData>
                  </a:graphic>
                </wp:inline>
              </w:drawing>
            </w:r>
            <w:bookmarkStart w:id="27" w:name="_1788608191"/>
            <w:bookmarkEnd w:id="27"/>
            <w:r>
              <w:rPr>
                <w:color w:val="000000"/>
                <w:sz w:val="20"/>
                <w:szCs w:val="18"/>
              </w:rPr>
              <w:drawing>
                <wp:inline distT="0" distB="0" distL="114300" distR="114300">
                  <wp:extent cx="787400" cy="203200"/>
                  <wp:effectExtent l="0" t="0" r="12700" b="6350"/>
                  <wp:docPr id="57"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0"/>
                          <pic:cNvPicPr>
                            <a:picLocks noChangeAspect="1"/>
                          </pic:cNvPicPr>
                        </pic:nvPicPr>
                        <pic:blipFill>
                          <a:blip r:embed="rId22"/>
                          <a:stretch>
                            <a:fillRect/>
                          </a:stretch>
                        </pic:blipFill>
                        <pic:spPr>
                          <a:xfrm>
                            <a:off x="0" y="0"/>
                            <a:ext cx="787400" cy="203200"/>
                          </a:xfrm>
                          <a:prstGeom prst="rect">
                            <a:avLst/>
                          </a:prstGeom>
                          <a:noFill/>
                          <a:ln>
                            <a:noFill/>
                          </a:ln>
                        </pic:spPr>
                      </pic:pic>
                    </a:graphicData>
                  </a:graphic>
                </wp:inline>
              </w:drawing>
            </w:r>
            <w:r>
              <w:rPr>
                <w:color w:val="000000"/>
              </w:rPr>
              <w:t xml:space="preserve"> </w:t>
            </w:r>
            <w:bookmarkStart w:id="28" w:name="_1788608474"/>
            <w:bookmarkEnd w:id="28"/>
            <w:r>
              <w:rPr>
                <w:color w:val="000000"/>
                <w:sz w:val="20"/>
                <w:szCs w:val="18"/>
              </w:rPr>
              <w:drawing>
                <wp:inline distT="0" distB="0" distL="114300" distR="114300">
                  <wp:extent cx="1600200" cy="228600"/>
                  <wp:effectExtent l="0" t="0" r="0" b="0"/>
                  <wp:docPr id="5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pic:cNvPicPr>
                            <a:picLocks noChangeAspect="1"/>
                          </pic:cNvPicPr>
                        </pic:nvPicPr>
                        <pic:blipFill>
                          <a:blip r:embed="rId23"/>
                          <a:stretch>
                            <a:fillRect/>
                          </a:stretch>
                        </pic:blipFill>
                        <pic:spPr>
                          <a:xfrm>
                            <a:off x="0" y="0"/>
                            <a:ext cx="1600200" cy="228600"/>
                          </a:xfrm>
                          <a:prstGeom prst="rect">
                            <a:avLst/>
                          </a:prstGeom>
                          <a:noFill/>
                          <a:ln>
                            <a:noFill/>
                          </a:ln>
                        </pic:spPr>
                      </pic:pic>
                    </a:graphicData>
                  </a:graphic>
                </wp:inline>
              </w:drawing>
            </w:r>
            <w:r>
              <w:rPr>
                <w:color w:val="000000"/>
              </w:rPr>
              <w:drawing>
                <wp:inline distT="0" distB="0" distL="114300" distR="114300">
                  <wp:extent cx="1327150" cy="228600"/>
                  <wp:effectExtent l="0" t="0" r="6350" b="0"/>
                  <wp:docPr id="49"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2"/>
                          <pic:cNvPicPr>
                            <a:picLocks noChangeAspect="1"/>
                          </pic:cNvPicPr>
                        </pic:nvPicPr>
                        <pic:blipFill>
                          <a:blip r:embed="rId24"/>
                          <a:stretch>
                            <a:fillRect/>
                          </a:stretch>
                        </pic:blipFill>
                        <pic:spPr>
                          <a:xfrm>
                            <a:off x="0" y="0"/>
                            <a:ext cx="1327150" cy="228600"/>
                          </a:xfrm>
                          <a:prstGeom prst="rect">
                            <a:avLst/>
                          </a:prstGeom>
                          <a:noFill/>
                          <a:ln>
                            <a:noFill/>
                          </a:ln>
                        </pic:spPr>
                      </pic:pic>
                    </a:graphicData>
                  </a:graphic>
                </wp:inline>
              </w:drawing>
            </w:r>
          </w:p>
          <w:p w14:paraId="676FF443">
            <w:pPr>
              <w:spacing w:beforeLines="0" w:afterLines="0" w:line="579" w:lineRule="exact"/>
              <w:rPr>
                <w:color w:val="000000"/>
                <w:sz w:val="20"/>
                <w:szCs w:val="18"/>
              </w:rPr>
            </w:pPr>
            <w:bookmarkStart w:id="29" w:name="_1788608472"/>
            <w:bookmarkEnd w:id="29"/>
            <w:r>
              <w:rPr>
                <w:color w:val="000000"/>
              </w:rPr>
              <w:drawing>
                <wp:inline distT="0" distB="0" distL="114300" distR="114300">
                  <wp:extent cx="971550" cy="228600"/>
                  <wp:effectExtent l="0" t="0" r="0" b="0"/>
                  <wp:docPr id="58"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3"/>
                          <pic:cNvPicPr>
                            <a:picLocks noChangeAspect="1"/>
                          </pic:cNvPicPr>
                        </pic:nvPicPr>
                        <pic:blipFill>
                          <a:blip r:embed="rId25"/>
                          <a:stretch>
                            <a:fillRect/>
                          </a:stretch>
                        </pic:blipFill>
                        <pic:spPr>
                          <a:xfrm>
                            <a:off x="0" y="0"/>
                            <a:ext cx="971550" cy="228600"/>
                          </a:xfrm>
                          <a:prstGeom prst="rect">
                            <a:avLst/>
                          </a:prstGeom>
                          <a:noFill/>
                          <a:ln>
                            <a:noFill/>
                          </a:ln>
                        </pic:spPr>
                      </pic:pic>
                    </a:graphicData>
                  </a:graphic>
                </wp:inline>
              </w:drawing>
            </w:r>
            <w:r>
              <w:rPr>
                <w:color w:val="000000"/>
                <w:sz w:val="18"/>
                <w:szCs w:val="18"/>
              </w:rPr>
              <w:t xml:space="preserve">  </w:t>
            </w:r>
            <w:bookmarkStart w:id="30" w:name="_1788608199"/>
            <w:bookmarkEnd w:id="30"/>
            <w:r>
              <w:rPr>
                <w:color w:val="000000"/>
                <w:sz w:val="20"/>
                <w:szCs w:val="18"/>
              </w:rPr>
              <w:drawing>
                <wp:inline distT="0" distB="0" distL="114300" distR="114300">
                  <wp:extent cx="806450" cy="203200"/>
                  <wp:effectExtent l="0" t="0" r="12700" b="6350"/>
                  <wp:docPr id="5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4"/>
                          <pic:cNvPicPr>
                            <a:picLocks noChangeAspect="1"/>
                          </pic:cNvPicPr>
                        </pic:nvPicPr>
                        <pic:blipFill>
                          <a:blip r:embed="rId26"/>
                          <a:stretch>
                            <a:fillRect/>
                          </a:stretch>
                        </pic:blipFill>
                        <pic:spPr>
                          <a:xfrm>
                            <a:off x="0" y="0"/>
                            <a:ext cx="806450" cy="203200"/>
                          </a:xfrm>
                          <a:prstGeom prst="rect">
                            <a:avLst/>
                          </a:prstGeom>
                          <a:noFill/>
                          <a:ln>
                            <a:noFill/>
                          </a:ln>
                        </pic:spPr>
                      </pic:pic>
                    </a:graphicData>
                  </a:graphic>
                </wp:inline>
              </w:drawing>
            </w:r>
            <w:r>
              <w:rPr>
                <w:color w:val="000000"/>
                <w:sz w:val="20"/>
                <w:szCs w:val="18"/>
              </w:rPr>
              <w:t xml:space="preserve"> </w:t>
            </w:r>
            <w:bookmarkStart w:id="31" w:name="_1788608201"/>
            <w:bookmarkEnd w:id="31"/>
            <w:r>
              <w:rPr>
                <w:color w:val="000000"/>
                <w:sz w:val="20"/>
                <w:szCs w:val="18"/>
              </w:rPr>
              <w:drawing>
                <wp:inline distT="0" distB="0" distL="114300" distR="114300">
                  <wp:extent cx="1333500" cy="234950"/>
                  <wp:effectExtent l="0" t="0" r="0" b="12700"/>
                  <wp:docPr id="60"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5"/>
                          <pic:cNvPicPr>
                            <a:picLocks noChangeAspect="1"/>
                          </pic:cNvPicPr>
                        </pic:nvPicPr>
                        <pic:blipFill>
                          <a:blip r:embed="rId27"/>
                          <a:stretch>
                            <a:fillRect/>
                          </a:stretch>
                        </pic:blipFill>
                        <pic:spPr>
                          <a:xfrm>
                            <a:off x="0" y="0"/>
                            <a:ext cx="1333500" cy="234950"/>
                          </a:xfrm>
                          <a:prstGeom prst="rect">
                            <a:avLst/>
                          </a:prstGeom>
                          <a:noFill/>
                          <a:ln>
                            <a:noFill/>
                          </a:ln>
                        </pic:spPr>
                      </pic:pic>
                    </a:graphicData>
                  </a:graphic>
                </wp:inline>
              </w:drawing>
            </w:r>
            <w:r>
              <w:rPr>
                <w:color w:val="000000"/>
                <w:sz w:val="20"/>
                <w:szCs w:val="18"/>
              </w:rPr>
              <w:t xml:space="preserve"> </w:t>
            </w:r>
            <w:bookmarkStart w:id="32" w:name="_1788608469"/>
            <w:bookmarkEnd w:id="32"/>
            <w:r>
              <w:rPr>
                <w:color w:val="000000"/>
                <w:sz w:val="20"/>
                <w:szCs w:val="18"/>
              </w:rPr>
              <w:drawing>
                <wp:inline distT="0" distB="0" distL="114300" distR="114300">
                  <wp:extent cx="1600200" cy="196850"/>
                  <wp:effectExtent l="0" t="0" r="0" b="12700"/>
                  <wp:docPr id="72"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6"/>
                          <pic:cNvPicPr>
                            <a:picLocks noChangeAspect="1"/>
                          </pic:cNvPicPr>
                        </pic:nvPicPr>
                        <pic:blipFill>
                          <a:blip r:embed="rId28"/>
                          <a:stretch>
                            <a:fillRect/>
                          </a:stretch>
                        </pic:blipFill>
                        <pic:spPr>
                          <a:xfrm>
                            <a:off x="0" y="0"/>
                            <a:ext cx="1600200" cy="196850"/>
                          </a:xfrm>
                          <a:prstGeom prst="rect">
                            <a:avLst/>
                          </a:prstGeom>
                          <a:noFill/>
                          <a:ln>
                            <a:noFill/>
                          </a:ln>
                        </pic:spPr>
                      </pic:pic>
                    </a:graphicData>
                  </a:graphic>
                </wp:inline>
              </w:drawing>
            </w:r>
          </w:p>
          <w:p w14:paraId="2E722350">
            <w:pPr>
              <w:spacing w:beforeLines="0" w:afterLines="0" w:line="579" w:lineRule="exact"/>
              <w:rPr>
                <w:color w:val="000000"/>
              </w:rPr>
            </w:pPr>
            <w:bookmarkStart w:id="33" w:name="_1788608205"/>
            <w:bookmarkEnd w:id="33"/>
            <w:r>
              <w:rPr>
                <w:color w:val="000000"/>
              </w:rPr>
              <w:drawing>
                <wp:inline distT="0" distB="0" distL="114300" distR="114300">
                  <wp:extent cx="1181100" cy="228600"/>
                  <wp:effectExtent l="0" t="0" r="0" b="0"/>
                  <wp:docPr id="74"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7"/>
                          <pic:cNvPicPr>
                            <a:picLocks noChangeAspect="1"/>
                          </pic:cNvPicPr>
                        </pic:nvPicPr>
                        <pic:blipFill>
                          <a:blip r:embed="rId29"/>
                          <a:stretch>
                            <a:fillRect/>
                          </a:stretch>
                        </pic:blipFill>
                        <pic:spPr>
                          <a:xfrm>
                            <a:off x="0" y="0"/>
                            <a:ext cx="1181100" cy="228600"/>
                          </a:xfrm>
                          <a:prstGeom prst="rect">
                            <a:avLst/>
                          </a:prstGeom>
                          <a:noFill/>
                          <a:ln>
                            <a:noFill/>
                          </a:ln>
                        </pic:spPr>
                      </pic:pic>
                    </a:graphicData>
                  </a:graphic>
                </wp:inline>
              </w:drawing>
            </w:r>
            <w:bookmarkStart w:id="34" w:name="_1788608208"/>
            <w:bookmarkEnd w:id="34"/>
            <w:r>
              <w:rPr>
                <w:color w:val="000000"/>
              </w:rPr>
              <w:drawing>
                <wp:inline distT="0" distB="0" distL="114300" distR="114300">
                  <wp:extent cx="1060450" cy="228600"/>
                  <wp:effectExtent l="0" t="0" r="6350" b="0"/>
                  <wp:docPr id="6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8"/>
                          <pic:cNvPicPr>
                            <a:picLocks noChangeAspect="1"/>
                          </pic:cNvPicPr>
                        </pic:nvPicPr>
                        <pic:blipFill>
                          <a:blip r:embed="rId30"/>
                          <a:stretch>
                            <a:fillRect/>
                          </a:stretch>
                        </pic:blipFill>
                        <pic:spPr>
                          <a:xfrm>
                            <a:off x="0" y="0"/>
                            <a:ext cx="1060450" cy="228600"/>
                          </a:xfrm>
                          <a:prstGeom prst="rect">
                            <a:avLst/>
                          </a:prstGeom>
                          <a:noFill/>
                          <a:ln>
                            <a:noFill/>
                          </a:ln>
                        </pic:spPr>
                      </pic:pic>
                    </a:graphicData>
                  </a:graphic>
                </wp:inline>
              </w:drawing>
            </w:r>
            <w:r>
              <w:rPr>
                <w:color w:val="000000"/>
                <w:sz w:val="18"/>
                <w:szCs w:val="18"/>
              </w:rPr>
              <w:drawing>
                <wp:inline distT="0" distB="0" distL="114300" distR="114300">
                  <wp:extent cx="1301750" cy="234950"/>
                  <wp:effectExtent l="0" t="0" r="12700" b="12700"/>
                  <wp:docPr id="7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9"/>
                          <pic:cNvPicPr>
                            <a:picLocks noChangeAspect="1"/>
                          </pic:cNvPicPr>
                        </pic:nvPicPr>
                        <pic:blipFill>
                          <a:blip r:embed="rId31"/>
                          <a:stretch>
                            <a:fillRect/>
                          </a:stretch>
                        </pic:blipFill>
                        <pic:spPr>
                          <a:xfrm>
                            <a:off x="0" y="0"/>
                            <a:ext cx="1301750" cy="234950"/>
                          </a:xfrm>
                          <a:prstGeom prst="rect">
                            <a:avLst/>
                          </a:prstGeom>
                          <a:noFill/>
                          <a:ln>
                            <a:noFill/>
                          </a:ln>
                        </pic:spPr>
                      </pic:pic>
                    </a:graphicData>
                  </a:graphic>
                </wp:inline>
              </w:drawing>
            </w:r>
            <w:r>
              <w:rPr>
                <w:color w:val="000000"/>
                <w:sz w:val="20"/>
                <w:szCs w:val="18"/>
              </w:rPr>
              <w:t xml:space="preserve">  </w:t>
            </w:r>
            <w:bookmarkStart w:id="35" w:name="_1788608464"/>
            <w:bookmarkEnd w:id="35"/>
            <w:r>
              <w:rPr>
                <w:color w:val="000000"/>
                <w:sz w:val="20"/>
                <w:szCs w:val="18"/>
              </w:rPr>
              <w:drawing>
                <wp:inline distT="0" distB="0" distL="114300" distR="114300">
                  <wp:extent cx="768350" cy="203200"/>
                  <wp:effectExtent l="0" t="0" r="12700" b="6350"/>
                  <wp:docPr id="6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0"/>
                          <pic:cNvPicPr>
                            <a:picLocks noChangeAspect="1"/>
                          </pic:cNvPicPr>
                        </pic:nvPicPr>
                        <pic:blipFill>
                          <a:blip r:embed="rId32"/>
                          <a:stretch>
                            <a:fillRect/>
                          </a:stretch>
                        </pic:blipFill>
                        <pic:spPr>
                          <a:xfrm>
                            <a:off x="0" y="0"/>
                            <a:ext cx="768350" cy="203200"/>
                          </a:xfrm>
                          <a:prstGeom prst="rect">
                            <a:avLst/>
                          </a:prstGeom>
                          <a:noFill/>
                          <a:ln>
                            <a:noFill/>
                          </a:ln>
                        </pic:spPr>
                      </pic:pic>
                    </a:graphicData>
                  </a:graphic>
                </wp:inline>
              </w:drawing>
            </w:r>
            <w:r>
              <w:rPr>
                <w:color w:val="000000"/>
              </w:rPr>
              <w:t xml:space="preserve">  </w:t>
            </w:r>
            <w:r>
              <w:rPr>
                <w:color w:val="000000"/>
              </w:rPr>
              <w:drawing>
                <wp:inline distT="0" distB="0" distL="114300" distR="114300">
                  <wp:extent cx="495300" cy="228600"/>
                  <wp:effectExtent l="0" t="0" r="0" b="0"/>
                  <wp:docPr id="7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1"/>
                          <pic:cNvPicPr>
                            <a:picLocks noChangeAspect="1"/>
                          </pic:cNvPicPr>
                        </pic:nvPicPr>
                        <pic:blipFill>
                          <a:blip r:embed="rId33"/>
                          <a:stretch>
                            <a:fillRect/>
                          </a:stretch>
                        </pic:blipFill>
                        <pic:spPr>
                          <a:xfrm>
                            <a:off x="0" y="0"/>
                            <a:ext cx="495300" cy="228600"/>
                          </a:xfrm>
                          <a:prstGeom prst="rect">
                            <a:avLst/>
                          </a:prstGeom>
                          <a:noFill/>
                          <a:ln>
                            <a:noFill/>
                          </a:ln>
                        </pic:spPr>
                      </pic:pic>
                    </a:graphicData>
                  </a:graphic>
                </wp:inline>
              </w:drawing>
            </w:r>
          </w:p>
        </w:tc>
      </w:tr>
      <w:tr w14:paraId="5836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0" w:type="dxa"/>
            <w:vMerge w:val="continue"/>
            <w:vAlign w:val="center"/>
          </w:tcPr>
          <w:p w14:paraId="6607E9B6">
            <w:pPr>
              <w:spacing w:beforeLines="0" w:afterLines="0" w:line="579" w:lineRule="exact"/>
              <w:rPr>
                <w:b/>
                <w:color w:val="000000"/>
                <w:szCs w:val="21"/>
              </w:rPr>
            </w:pPr>
          </w:p>
        </w:tc>
        <w:tc>
          <w:tcPr>
            <w:tcW w:w="8222" w:type="dxa"/>
            <w:gridSpan w:val="5"/>
            <w:vAlign w:val="center"/>
          </w:tcPr>
          <w:p w14:paraId="22934A19">
            <w:pPr>
              <w:spacing w:beforeLines="0" w:afterLines="0" w:line="579" w:lineRule="exact"/>
              <w:rPr>
                <w:color w:val="000000"/>
              </w:rPr>
            </w:pPr>
            <w:bookmarkStart w:id="36" w:name="_1788608216"/>
            <w:bookmarkEnd w:id="36"/>
            <w:r>
              <w:rPr>
                <w:color w:val="000000"/>
              </w:rPr>
              <w:drawing>
                <wp:inline distT="0" distB="0" distL="114300" distR="114300">
                  <wp:extent cx="749300" cy="228600"/>
                  <wp:effectExtent l="0" t="0" r="12700" b="0"/>
                  <wp:docPr id="71"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2"/>
                          <pic:cNvPicPr>
                            <a:picLocks noChangeAspect="1"/>
                          </pic:cNvPicPr>
                        </pic:nvPicPr>
                        <pic:blipFill>
                          <a:blip r:embed="rId34"/>
                          <a:stretch>
                            <a:fillRect/>
                          </a:stretch>
                        </pic:blipFill>
                        <pic:spPr>
                          <a:xfrm>
                            <a:off x="0" y="0"/>
                            <a:ext cx="749300" cy="228600"/>
                          </a:xfrm>
                          <a:prstGeom prst="rect">
                            <a:avLst/>
                          </a:prstGeom>
                          <a:noFill/>
                          <a:ln>
                            <a:noFill/>
                          </a:ln>
                        </pic:spPr>
                      </pic:pic>
                    </a:graphicData>
                  </a:graphic>
                </wp:inline>
              </w:drawing>
            </w:r>
            <w:bookmarkStart w:id="37" w:name="_1788608461"/>
            <w:bookmarkEnd w:id="37"/>
            <w:r>
              <w:rPr>
                <w:color w:val="000000"/>
              </w:rPr>
              <w:drawing>
                <wp:inline distT="0" distB="0" distL="114300" distR="114300">
                  <wp:extent cx="1238250" cy="228600"/>
                  <wp:effectExtent l="0" t="0" r="0" b="0"/>
                  <wp:docPr id="70"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3"/>
                          <pic:cNvPicPr>
                            <a:picLocks noChangeAspect="1"/>
                          </pic:cNvPicPr>
                        </pic:nvPicPr>
                        <pic:blipFill>
                          <a:blip r:embed="rId35"/>
                          <a:stretch>
                            <a:fillRect/>
                          </a:stretch>
                        </pic:blipFill>
                        <pic:spPr>
                          <a:xfrm>
                            <a:off x="0" y="0"/>
                            <a:ext cx="1238250" cy="228600"/>
                          </a:xfrm>
                          <a:prstGeom prst="rect">
                            <a:avLst/>
                          </a:prstGeom>
                          <a:noFill/>
                          <a:ln>
                            <a:noFill/>
                          </a:ln>
                        </pic:spPr>
                      </pic:pic>
                    </a:graphicData>
                  </a:graphic>
                </wp:inline>
              </w:drawing>
            </w:r>
            <w:bookmarkStart w:id="38" w:name="_1788608220"/>
            <w:bookmarkEnd w:id="38"/>
            <w:r>
              <w:rPr>
                <w:color w:val="000000"/>
                <w:sz w:val="18"/>
                <w:szCs w:val="18"/>
              </w:rPr>
              <w:drawing>
                <wp:inline distT="0" distB="0" distL="114300" distR="114300">
                  <wp:extent cx="825500" cy="228600"/>
                  <wp:effectExtent l="0" t="0" r="12700" b="0"/>
                  <wp:docPr id="62"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4"/>
                          <pic:cNvPicPr>
                            <a:picLocks noChangeAspect="1"/>
                          </pic:cNvPicPr>
                        </pic:nvPicPr>
                        <pic:blipFill>
                          <a:blip r:embed="rId36"/>
                          <a:stretch>
                            <a:fillRect/>
                          </a:stretch>
                        </pic:blipFill>
                        <pic:spPr>
                          <a:xfrm>
                            <a:off x="0" y="0"/>
                            <a:ext cx="825500" cy="228600"/>
                          </a:xfrm>
                          <a:prstGeom prst="rect">
                            <a:avLst/>
                          </a:prstGeom>
                          <a:noFill/>
                          <a:ln>
                            <a:noFill/>
                          </a:ln>
                        </pic:spPr>
                      </pic:pic>
                    </a:graphicData>
                  </a:graphic>
                </wp:inline>
              </w:drawing>
            </w:r>
            <w:bookmarkStart w:id="39" w:name="_1788608459"/>
            <w:bookmarkEnd w:id="39"/>
            <w:r>
              <w:rPr>
                <w:color w:val="000000"/>
              </w:rPr>
              <w:drawing>
                <wp:inline distT="0" distB="0" distL="114300" distR="114300">
                  <wp:extent cx="863600" cy="228600"/>
                  <wp:effectExtent l="0" t="0" r="12700" b="0"/>
                  <wp:docPr id="67"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5"/>
                          <pic:cNvPicPr>
                            <a:picLocks noChangeAspect="1"/>
                          </pic:cNvPicPr>
                        </pic:nvPicPr>
                        <pic:blipFill>
                          <a:blip r:embed="rId37"/>
                          <a:stretch>
                            <a:fillRect/>
                          </a:stretch>
                        </pic:blipFill>
                        <pic:spPr>
                          <a:xfrm>
                            <a:off x="0" y="0"/>
                            <a:ext cx="863600" cy="228600"/>
                          </a:xfrm>
                          <a:prstGeom prst="rect">
                            <a:avLst/>
                          </a:prstGeom>
                          <a:noFill/>
                          <a:ln>
                            <a:noFill/>
                          </a:ln>
                        </pic:spPr>
                      </pic:pic>
                    </a:graphicData>
                  </a:graphic>
                </wp:inline>
              </w:drawing>
            </w:r>
            <w:r>
              <w:rPr>
                <w:color w:val="000000"/>
              </w:rPr>
              <w:drawing>
                <wp:inline distT="0" distB="0" distL="114300" distR="114300">
                  <wp:extent cx="768350" cy="228600"/>
                  <wp:effectExtent l="0" t="0" r="12700" b="0"/>
                  <wp:docPr id="68"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6"/>
                          <pic:cNvPicPr>
                            <a:picLocks noChangeAspect="1"/>
                          </pic:cNvPicPr>
                        </pic:nvPicPr>
                        <pic:blipFill>
                          <a:blip r:embed="rId38"/>
                          <a:stretch>
                            <a:fillRect/>
                          </a:stretch>
                        </pic:blipFill>
                        <pic:spPr>
                          <a:xfrm>
                            <a:off x="0" y="0"/>
                            <a:ext cx="768350" cy="228600"/>
                          </a:xfrm>
                          <a:prstGeom prst="rect">
                            <a:avLst/>
                          </a:prstGeom>
                          <a:noFill/>
                          <a:ln>
                            <a:noFill/>
                          </a:ln>
                        </pic:spPr>
                      </pic:pic>
                    </a:graphicData>
                  </a:graphic>
                </wp:inline>
              </w:drawing>
            </w:r>
            <w:r>
              <w:rPr>
                <w:color w:val="000000"/>
              </w:rPr>
              <w:drawing>
                <wp:inline distT="0" distB="0" distL="114300" distR="114300">
                  <wp:extent cx="495300" cy="228600"/>
                  <wp:effectExtent l="0" t="0" r="0" b="0"/>
                  <wp:docPr id="65"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7"/>
                          <pic:cNvPicPr>
                            <a:picLocks noChangeAspect="1"/>
                          </pic:cNvPicPr>
                        </pic:nvPicPr>
                        <pic:blipFill>
                          <a:blip r:embed="rId39"/>
                          <a:stretch>
                            <a:fillRect/>
                          </a:stretch>
                        </pic:blipFill>
                        <pic:spPr>
                          <a:xfrm>
                            <a:off x="0" y="0"/>
                            <a:ext cx="495300" cy="228600"/>
                          </a:xfrm>
                          <a:prstGeom prst="rect">
                            <a:avLst/>
                          </a:prstGeom>
                          <a:noFill/>
                          <a:ln>
                            <a:noFill/>
                          </a:ln>
                        </pic:spPr>
                      </pic:pic>
                    </a:graphicData>
                  </a:graphic>
                </wp:inline>
              </w:drawing>
            </w:r>
          </w:p>
        </w:tc>
      </w:tr>
      <w:tr w14:paraId="3D19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0" w:type="dxa"/>
            <w:vAlign w:val="center"/>
          </w:tcPr>
          <w:p w14:paraId="4F0FD4D0">
            <w:pPr>
              <w:jc w:val="center"/>
              <w:rPr>
                <w:b/>
                <w:color w:val="000000"/>
                <w:szCs w:val="21"/>
              </w:rPr>
            </w:pPr>
            <w:r>
              <w:rPr>
                <w:rFonts w:hint="eastAsia" w:ascii="宋体" w:hAnsi="宋体"/>
                <w:b/>
                <w:color w:val="000000"/>
                <w:szCs w:val="21"/>
              </w:rPr>
              <w:t>接入城市大数据平台方式</w:t>
            </w:r>
          </w:p>
        </w:tc>
        <w:tc>
          <w:tcPr>
            <w:tcW w:w="8222" w:type="dxa"/>
            <w:gridSpan w:val="5"/>
            <w:vAlign w:val="center"/>
          </w:tcPr>
          <w:p w14:paraId="325E4F28">
            <w:pPr>
              <w:spacing w:line="480" w:lineRule="exact"/>
              <w:rPr>
                <w:color w:val="000000"/>
              </w:rPr>
            </w:pPr>
            <w:bookmarkStart w:id="40" w:name="_1788608228"/>
            <w:bookmarkEnd w:id="40"/>
            <w:r>
              <w:rPr>
                <w:color w:val="000000"/>
              </w:rPr>
              <w:drawing>
                <wp:inline distT="0" distB="0" distL="114300" distR="114300">
                  <wp:extent cx="762000" cy="222250"/>
                  <wp:effectExtent l="0" t="0" r="0" b="6350"/>
                  <wp:docPr id="61"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8"/>
                          <pic:cNvPicPr>
                            <a:picLocks noChangeAspect="1"/>
                          </pic:cNvPicPr>
                        </pic:nvPicPr>
                        <pic:blipFill>
                          <a:blip r:embed="rId40"/>
                          <a:stretch>
                            <a:fillRect/>
                          </a:stretch>
                        </pic:blipFill>
                        <pic:spPr>
                          <a:xfrm>
                            <a:off x="0" y="0"/>
                            <a:ext cx="762000" cy="222250"/>
                          </a:xfrm>
                          <a:prstGeom prst="rect">
                            <a:avLst/>
                          </a:prstGeom>
                          <a:noFill/>
                          <a:ln>
                            <a:noFill/>
                          </a:ln>
                        </pic:spPr>
                      </pic:pic>
                    </a:graphicData>
                  </a:graphic>
                </wp:inline>
              </w:drawing>
            </w:r>
            <w:r>
              <w:rPr>
                <w:color w:val="000000"/>
              </w:rPr>
              <w:t xml:space="preserve">    </w:t>
            </w:r>
            <w:bookmarkStart w:id="41" w:name="_1788608230"/>
            <w:bookmarkEnd w:id="41"/>
            <w:r>
              <w:rPr>
                <w:color w:val="000000"/>
              </w:rPr>
              <w:drawing>
                <wp:inline distT="0" distB="0" distL="114300" distR="114300">
                  <wp:extent cx="762000" cy="222250"/>
                  <wp:effectExtent l="0" t="0" r="0" b="6350"/>
                  <wp:docPr id="6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9"/>
                          <pic:cNvPicPr>
                            <a:picLocks noChangeAspect="1"/>
                          </pic:cNvPicPr>
                        </pic:nvPicPr>
                        <pic:blipFill>
                          <a:blip r:embed="rId41"/>
                          <a:stretch>
                            <a:fillRect/>
                          </a:stretch>
                        </pic:blipFill>
                        <pic:spPr>
                          <a:xfrm>
                            <a:off x="0" y="0"/>
                            <a:ext cx="762000" cy="222250"/>
                          </a:xfrm>
                          <a:prstGeom prst="rect">
                            <a:avLst/>
                          </a:prstGeom>
                          <a:noFill/>
                          <a:ln>
                            <a:noFill/>
                          </a:ln>
                        </pic:spPr>
                      </pic:pic>
                    </a:graphicData>
                  </a:graphic>
                </wp:inline>
              </w:drawing>
            </w:r>
            <w:r>
              <w:rPr>
                <w:color w:val="000000"/>
              </w:rPr>
              <w:t xml:space="preserve">    </w:t>
            </w:r>
            <w:bookmarkStart w:id="42" w:name="_1788608454"/>
            <w:bookmarkEnd w:id="42"/>
            <w:r>
              <w:rPr>
                <w:color w:val="000000"/>
              </w:rPr>
              <w:drawing>
                <wp:inline distT="0" distB="0" distL="114300" distR="114300">
                  <wp:extent cx="990600" cy="222250"/>
                  <wp:effectExtent l="0" t="0" r="0" b="6350"/>
                  <wp:docPr id="69"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0"/>
                          <pic:cNvPicPr>
                            <a:picLocks noChangeAspect="1"/>
                          </pic:cNvPicPr>
                        </pic:nvPicPr>
                        <pic:blipFill>
                          <a:blip r:embed="rId42"/>
                          <a:stretch>
                            <a:fillRect/>
                          </a:stretch>
                        </pic:blipFill>
                        <pic:spPr>
                          <a:xfrm>
                            <a:off x="0" y="0"/>
                            <a:ext cx="990600" cy="222250"/>
                          </a:xfrm>
                          <a:prstGeom prst="rect">
                            <a:avLst/>
                          </a:prstGeom>
                          <a:noFill/>
                          <a:ln>
                            <a:noFill/>
                          </a:ln>
                        </pic:spPr>
                      </pic:pic>
                    </a:graphicData>
                  </a:graphic>
                </wp:inline>
              </w:drawing>
            </w:r>
          </w:p>
        </w:tc>
      </w:tr>
      <w:tr w14:paraId="5AAD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9942" w:type="dxa"/>
            <w:gridSpan w:val="6"/>
          </w:tcPr>
          <w:p w14:paraId="434D2F81">
            <w:pPr>
              <w:spacing w:before="156" w:beforeLines="50" w:after="156" w:afterLines="50"/>
              <w:rPr>
                <w:rFonts w:hint="eastAsia" w:ascii="宋体" w:hAnsi="宋体"/>
                <w:b/>
                <w:color w:val="000000"/>
                <w:szCs w:val="21"/>
              </w:rPr>
            </w:pPr>
            <w:r>
              <w:rPr>
                <w:rFonts w:hint="eastAsia" w:ascii="宋体" w:hAnsi="宋体"/>
                <w:b/>
                <w:color w:val="000000"/>
                <w:szCs w:val="21"/>
              </w:rPr>
              <w:t>需求说明（详细说明申请业务类型、</w:t>
            </w:r>
            <w:r>
              <w:rPr>
                <w:rFonts w:ascii="宋体" w:hAnsi="宋体"/>
                <w:b/>
                <w:color w:val="000000"/>
                <w:szCs w:val="21"/>
              </w:rPr>
              <w:t>配置</w:t>
            </w:r>
            <w:r>
              <w:rPr>
                <w:rFonts w:hint="eastAsia" w:ascii="宋体" w:hAnsi="宋体"/>
                <w:b/>
                <w:color w:val="000000"/>
                <w:szCs w:val="21"/>
              </w:rPr>
              <w:t>及数量，每个应用系统需提供本系统信息资源目录及接入区大数据平台方案，大型应用需求需附技术部署方案，并提供业务量规模和资源需求的测算依据）：</w:t>
            </w:r>
          </w:p>
          <w:p w14:paraId="3FC2E6B7">
            <w:pPr>
              <w:spacing w:before="156" w:beforeLines="50" w:after="156" w:afterLines="50"/>
              <w:rPr>
                <w:color w:val="000000"/>
                <w:szCs w:val="21"/>
              </w:rPr>
            </w:pPr>
          </w:p>
        </w:tc>
      </w:tr>
      <w:tr w14:paraId="02FE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9942" w:type="dxa"/>
            <w:gridSpan w:val="6"/>
          </w:tcPr>
          <w:p w14:paraId="5932110C">
            <w:pPr>
              <w:spacing w:line="360" w:lineRule="auto"/>
              <w:rPr>
                <w:b/>
                <w:color w:val="000000"/>
                <w:sz w:val="24"/>
              </w:rPr>
            </w:pPr>
            <w:r>
              <w:rPr>
                <w:rFonts w:hint="eastAsia" w:ascii="宋体" w:hAnsi="宋体"/>
                <w:b/>
                <w:color w:val="000000"/>
                <w:sz w:val="24"/>
              </w:rPr>
              <w:t>申请单位意见（所属</w:t>
            </w:r>
            <w:r>
              <w:rPr>
                <w:rFonts w:ascii="宋体" w:hAnsi="宋体"/>
                <w:b/>
                <w:color w:val="000000"/>
                <w:sz w:val="24"/>
              </w:rPr>
              <w:t>事业单位</w:t>
            </w:r>
            <w:r>
              <w:rPr>
                <w:rFonts w:hint="eastAsia" w:ascii="宋体" w:hAnsi="宋体"/>
                <w:b/>
                <w:color w:val="000000"/>
                <w:sz w:val="24"/>
              </w:rPr>
              <w:t>同时须</w:t>
            </w:r>
            <w:r>
              <w:rPr>
                <w:rFonts w:ascii="宋体" w:hAnsi="宋体"/>
                <w:b/>
                <w:color w:val="000000"/>
                <w:sz w:val="24"/>
              </w:rPr>
              <w:t>由主管部门盖章</w:t>
            </w:r>
            <w:r>
              <w:rPr>
                <w:rFonts w:hint="eastAsia" w:ascii="宋体" w:hAnsi="宋体"/>
                <w:b/>
                <w:color w:val="000000"/>
                <w:sz w:val="24"/>
              </w:rPr>
              <w:t>）：</w:t>
            </w:r>
          </w:p>
          <w:p w14:paraId="472BBDA9">
            <w:pPr>
              <w:spacing w:line="240" w:lineRule="auto"/>
              <w:rPr>
                <w:color w:val="000000"/>
                <w:sz w:val="24"/>
              </w:rPr>
            </w:pPr>
            <w:r>
              <w:rPr>
                <w:rFonts w:hint="eastAsia" w:ascii="宋体" w:hAnsi="宋体"/>
                <w:b/>
                <w:color w:val="000000"/>
                <w:sz w:val="24"/>
              </w:rPr>
              <w:t xml:space="preserve">                                                </w:t>
            </w:r>
            <w:r>
              <w:rPr>
                <w:rFonts w:hint="eastAsia" w:ascii="宋体" w:hAnsi="宋体"/>
                <w:color w:val="000000"/>
                <w:sz w:val="24"/>
              </w:rPr>
              <w:t xml:space="preserve">   （公  章</w:t>
            </w:r>
            <w:r>
              <w:rPr>
                <w:rFonts w:ascii="宋体" w:hAnsi="宋体"/>
                <w:color w:val="000000"/>
                <w:sz w:val="24"/>
              </w:rPr>
              <w:t>）</w:t>
            </w:r>
          </w:p>
          <w:p w14:paraId="0621359C">
            <w:pPr>
              <w:spacing w:line="240" w:lineRule="auto"/>
              <w:rPr>
                <w:color w:val="000000"/>
                <w:sz w:val="24"/>
              </w:rPr>
            </w:pPr>
            <w:r>
              <w:rPr>
                <w:rFonts w:hint="eastAsia" w:ascii="宋体" w:hAnsi="宋体"/>
                <w:b/>
                <w:color w:val="000000"/>
                <w:sz w:val="24"/>
              </w:rPr>
              <w:t xml:space="preserve">                                                    </w:t>
            </w:r>
            <w:r>
              <w:rPr>
                <w:rFonts w:hint="eastAsia" w:ascii="宋体" w:hAnsi="宋体"/>
                <w:color w:val="000000"/>
                <w:sz w:val="24"/>
              </w:rPr>
              <w:t>年       月      日</w:t>
            </w:r>
          </w:p>
        </w:tc>
      </w:tr>
      <w:tr w14:paraId="4CA1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9942" w:type="dxa"/>
            <w:gridSpan w:val="6"/>
          </w:tcPr>
          <w:p w14:paraId="7555BBCD">
            <w:pPr>
              <w:spacing w:line="360" w:lineRule="auto"/>
              <w:rPr>
                <w:b/>
                <w:color w:val="000000"/>
                <w:sz w:val="24"/>
              </w:rPr>
            </w:pPr>
            <w:r>
              <w:rPr>
                <w:rFonts w:hint="eastAsia" w:ascii="宋体" w:hAnsi="宋体"/>
                <w:b/>
                <w:color w:val="000000"/>
                <w:sz w:val="24"/>
              </w:rPr>
              <w:t>管理部门意见：</w:t>
            </w:r>
          </w:p>
          <w:p w14:paraId="2323D6DA">
            <w:pPr>
              <w:spacing w:line="360" w:lineRule="auto"/>
              <w:ind w:firstLine="6120" w:firstLineChars="2550"/>
              <w:rPr>
                <w:color w:val="000000"/>
                <w:sz w:val="24"/>
              </w:rPr>
            </w:pPr>
            <w:r>
              <w:rPr>
                <w:rFonts w:hint="eastAsia" w:ascii="宋体" w:hAnsi="宋体"/>
                <w:color w:val="000000"/>
                <w:sz w:val="24"/>
              </w:rPr>
              <w:t>（公  章</w:t>
            </w:r>
            <w:r>
              <w:rPr>
                <w:rFonts w:ascii="宋体" w:hAnsi="宋体"/>
                <w:color w:val="000000"/>
                <w:sz w:val="24"/>
              </w:rPr>
              <w:t>）</w:t>
            </w:r>
          </w:p>
          <w:p w14:paraId="51F45F11">
            <w:pPr>
              <w:spacing w:line="360" w:lineRule="auto"/>
              <w:rPr>
                <w:color w:val="000000"/>
                <w:sz w:val="24"/>
              </w:rPr>
            </w:pPr>
            <w:r>
              <w:rPr>
                <w:rFonts w:hint="eastAsia" w:ascii="宋体" w:hAnsi="宋体"/>
                <w:b/>
                <w:color w:val="000000"/>
                <w:sz w:val="24"/>
              </w:rPr>
              <w:t xml:space="preserve">                                                   </w:t>
            </w:r>
            <w:r>
              <w:rPr>
                <w:rFonts w:hint="eastAsia" w:ascii="宋体" w:hAnsi="宋体"/>
                <w:color w:val="000000"/>
                <w:sz w:val="24"/>
              </w:rPr>
              <w:t xml:space="preserve"> 年       月      日</w:t>
            </w:r>
          </w:p>
        </w:tc>
      </w:tr>
      <w:bookmarkEnd w:id="2"/>
      <w:bookmarkEnd w:id="3"/>
      <w:bookmarkEnd w:id="4"/>
    </w:tbl>
    <w:p w14:paraId="64A52E8E">
      <w:pPr>
        <w:pStyle w:val="8"/>
        <w:rPr>
          <w:rFonts w:hint="default" w:ascii="黑体" w:hAnsi="黑体" w:eastAsia="黑体"/>
          <w:b/>
          <w:sz w:val="32"/>
          <w:szCs w:val="32"/>
          <w:lang w:val="en-US" w:eastAsia="zh-CN"/>
        </w:rPr>
      </w:pPr>
    </w:p>
    <w:p w14:paraId="267673AB">
      <w:pPr>
        <w:rPr>
          <w:rFonts w:hint="default" w:ascii="仿宋_GB2312" w:hAnsi="仿宋_GB2312" w:eastAsia="仿宋_GB2312" w:cs="仿宋_GB2312"/>
          <w:b/>
          <w:bCs/>
          <w:i w:val="0"/>
          <w:iCs w:val="0"/>
          <w:caps w:val="0"/>
          <w:color w:val="auto"/>
          <w:spacing w:val="0"/>
          <w:sz w:val="32"/>
          <w:szCs w:val="32"/>
          <w:lang w:val="en-US" w:eastAsia="zh-CN"/>
        </w:rPr>
      </w:pPr>
      <w:r>
        <w:rPr>
          <w:rFonts w:hint="default" w:ascii="仿宋_GB2312" w:hAnsi="仿宋_GB2312" w:eastAsia="仿宋_GB2312" w:cs="仿宋_GB2312"/>
          <w:b/>
          <w:bCs/>
          <w:i w:val="0"/>
          <w:iCs w:val="0"/>
          <w:caps w:val="0"/>
          <w:color w:val="auto"/>
          <w:spacing w:val="0"/>
          <w:sz w:val="32"/>
          <w:szCs w:val="32"/>
          <w:lang w:val="en-US" w:eastAsia="zh-CN"/>
        </w:rPr>
        <w:br w:type="page"/>
      </w:r>
    </w:p>
    <w:p w14:paraId="6B177A13">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i w:val="0"/>
          <w:iCs w:val="0"/>
          <w:caps w:val="0"/>
          <w:color w:val="auto"/>
          <w:spacing w:val="0"/>
          <w:sz w:val="32"/>
          <w:szCs w:val="32"/>
          <w:lang w:val="en-US" w:eastAsia="zh-CN"/>
        </w:rPr>
        <w:sectPr>
          <w:footerReference r:id="rId5" w:type="default"/>
          <w:pgSz w:w="11906" w:h="16838"/>
          <w:pgMar w:top="1701" w:right="1474" w:bottom="1587" w:left="1587" w:header="851" w:footer="992" w:gutter="0"/>
          <w:pgBorders>
            <w:top w:val="none" w:sz="0" w:space="0"/>
            <w:left w:val="none" w:sz="0" w:space="0"/>
            <w:bottom w:val="none" w:sz="0" w:space="0"/>
            <w:right w:val="none" w:sz="0" w:space="0"/>
          </w:pgBorders>
          <w:pgNumType w:fmt="decimal" w:start="11"/>
          <w:cols w:space="0" w:num="1"/>
          <w:rtlGutter w:val="0"/>
          <w:docGrid w:type="lines" w:linePitch="312" w:charSpace="0"/>
        </w:sectPr>
      </w:pPr>
    </w:p>
    <w:p w14:paraId="587E7BB3">
      <w:pPr>
        <w:spacing w:beforeLines="0" w:afterLines="0" w:line="579" w:lineRule="exact"/>
        <w:rPr>
          <w:rFonts w:hint="eastAsia" w:ascii="方正小标宋简体" w:hAnsi="方正小标宋简体" w:eastAsia="黑体" w:cs="方正小标宋简体"/>
          <w:bCs/>
          <w:sz w:val="44"/>
          <w:szCs w:val="44"/>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14:paraId="37205755">
      <w:pPr>
        <w:pStyle w:val="10"/>
        <w:spacing w:beforeLines="0" w:afterLines="0" w:line="579" w:lineRule="exact"/>
        <w:rPr>
          <w:rFonts w:hint="eastAsia" w:ascii="仿宋_GB2312" w:hAnsi="仿宋_GB2312" w:eastAsia="仿宋_GB2312" w:cs="仿宋_GB2312"/>
          <w:sz w:val="32"/>
          <w:szCs w:val="32"/>
        </w:rPr>
      </w:pPr>
    </w:p>
    <w:p w14:paraId="264AFD1E">
      <w:pPr>
        <w:pStyle w:val="10"/>
        <w:spacing w:beforeLines="0" w:afterLines="0" w:line="579"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政务云资源开通确认函</w:t>
      </w:r>
    </w:p>
    <w:p w14:paraId="5EE7DB0D">
      <w:pPr>
        <w:pStyle w:val="10"/>
        <w:spacing w:beforeLines="0" w:afterLines="0" w:line="579" w:lineRule="exact"/>
        <w:jc w:val="center"/>
        <w:rPr>
          <w:rFonts w:hint="eastAsia" w:ascii="方正小标宋_GBK" w:hAnsi="方正小标宋_GBK" w:eastAsia="方正小标宋_GBK" w:cs="方正小标宋_GBK"/>
          <w:sz w:val="44"/>
          <w:szCs w:val="44"/>
        </w:rPr>
      </w:pPr>
    </w:p>
    <w:p w14:paraId="116570E2">
      <w:pPr>
        <w:spacing w:beforeLines="0" w:afterLines="0"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政务云使用单位：</w:t>
      </w:r>
    </w:p>
    <w:p w14:paraId="63CA59F4">
      <w:pPr>
        <w:spacing w:beforeLines="0" w:afterLines="0" w:line="579"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val="en-US" w:eastAsia="zh-CN"/>
        </w:rPr>
        <w:t>你</w:t>
      </w:r>
      <w:r>
        <w:rPr>
          <w:rFonts w:hint="eastAsia" w:ascii="仿宋_GB2312" w:hAnsi="仿宋_GB2312" w:eastAsia="仿宋_GB2312" w:cs="仿宋_GB2312"/>
          <w:sz w:val="32"/>
          <w:szCs w:val="32"/>
          <w:highlight w:val="none"/>
        </w:rPr>
        <w:t>单位</w:t>
      </w:r>
      <w:r>
        <w:rPr>
          <w:rFonts w:hint="eastAsia" w:ascii="仿宋_GB2312" w:hAnsi="仿宋_GB2312" w:eastAsia="仿宋_GB2312" w:cs="仿宋_GB2312"/>
          <w:sz w:val="32"/>
          <w:szCs w:val="32"/>
        </w:rPr>
        <w:t xml:space="preserve">  年  月  日申请的关于XX项目的政务云资源，已于   年  月  日完成开通，请予以确认。</w:t>
      </w:r>
    </w:p>
    <w:p w14:paraId="12A5D5D4">
      <w:pPr>
        <w:pStyle w:val="10"/>
        <w:spacing w:beforeLines="0" w:afterLines="0" w:line="579" w:lineRule="exact"/>
        <w:rPr>
          <w:rFonts w:hint="eastAsia" w:ascii="仿宋_GB2312" w:hAnsi="仿宋_GB2312" w:eastAsia="仿宋_GB2312" w:cs="仿宋_GB2312"/>
          <w:sz w:val="32"/>
          <w:szCs w:val="32"/>
        </w:rPr>
      </w:pPr>
    </w:p>
    <w:p w14:paraId="0FEA2F57">
      <w:pPr>
        <w:pStyle w:val="10"/>
        <w:spacing w:beforeLines="0" w:afterLines="0" w:line="579" w:lineRule="exact"/>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数字城市部</w:t>
      </w:r>
    </w:p>
    <w:p w14:paraId="06DAE4AF">
      <w:pPr>
        <w:pStyle w:val="10"/>
        <w:spacing w:beforeLines="0" w:afterLines="0"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 </w:t>
      </w:r>
    </w:p>
    <w:p w14:paraId="2DC87971">
      <w:pPr>
        <w:pStyle w:val="10"/>
        <w:spacing w:beforeLines="0" w:afterLines="0" w:line="579" w:lineRule="exact"/>
        <w:jc w:val="center"/>
        <w:rPr>
          <w:rFonts w:hint="eastAsia" w:ascii="仿宋" w:hAnsi="仿宋" w:eastAsia="仿宋" w:cs="仿宋"/>
          <w:sz w:val="32"/>
          <w:szCs w:val="32"/>
        </w:rPr>
      </w:pPr>
      <w:r>
        <w:rPr>
          <w:rFonts w:hint="eastAsia" w:ascii="仿宋" w:hAnsi="仿宋" w:eastAsia="仿宋" w:cs="仿宋"/>
          <w:sz w:val="32"/>
          <w:szCs w:val="32"/>
        </w:rPr>
        <w:t>-----------------------------------------------------</w:t>
      </w:r>
    </w:p>
    <w:p w14:paraId="6FC25AA2">
      <w:pPr>
        <w:pStyle w:val="10"/>
        <w:spacing w:beforeLines="0" w:afterLines="0" w:line="579" w:lineRule="exact"/>
        <w:jc w:val="center"/>
        <w:rPr>
          <w:rFonts w:hint="eastAsia" w:ascii="方正公文小标宋" w:hAnsi="方正公文小标宋" w:eastAsia="方正公文小标宋" w:cs="方正公文小标宋"/>
          <w:sz w:val="44"/>
          <w:szCs w:val="44"/>
        </w:rPr>
      </w:pPr>
    </w:p>
    <w:p w14:paraId="2319EDCA">
      <w:pPr>
        <w:pStyle w:val="10"/>
        <w:spacing w:beforeLines="0" w:afterLines="0" w:line="579"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回  函</w:t>
      </w:r>
    </w:p>
    <w:p w14:paraId="538A8D61">
      <w:pPr>
        <w:pStyle w:val="10"/>
        <w:spacing w:beforeLines="0" w:afterLines="0" w:line="579" w:lineRule="exact"/>
        <w:rPr>
          <w:rFonts w:hint="eastAsia" w:ascii="仿宋_GB2312" w:hAnsi="仿宋_GB2312" w:eastAsia="仿宋_GB2312" w:cs="仿宋_GB2312"/>
          <w:sz w:val="32"/>
          <w:szCs w:val="32"/>
        </w:rPr>
      </w:pPr>
    </w:p>
    <w:p w14:paraId="040BE3CB">
      <w:pPr>
        <w:pStyle w:val="10"/>
        <w:spacing w:beforeLines="0" w:afterLines="0"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数字城市部：</w:t>
      </w:r>
    </w:p>
    <w:p w14:paraId="7A6DAF2B">
      <w:pPr>
        <w:pStyle w:val="10"/>
        <w:spacing w:beforeLines="0" w:afterLines="0" w:line="579"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你</w:t>
      </w:r>
      <w:r>
        <w:rPr>
          <w:rFonts w:hint="eastAsia" w:ascii="仿宋_GB2312" w:hAnsi="仿宋_GB2312" w:eastAsia="仿宋_GB2312" w:cs="仿宋_GB2312"/>
          <w:sz w:val="32"/>
          <w:szCs w:val="32"/>
          <w:highlight w:val="none"/>
        </w:rPr>
        <w:t>部政务</w:t>
      </w:r>
      <w:r>
        <w:rPr>
          <w:rFonts w:hint="eastAsia" w:ascii="仿宋_GB2312" w:hAnsi="仿宋_GB2312" w:eastAsia="仿宋_GB2312" w:cs="仿宋_GB2312"/>
          <w:sz w:val="32"/>
          <w:szCs w:val="32"/>
        </w:rPr>
        <w:t>云资源开通确认函已收悉，经审核，我单位  年 月 日申请的关于XX项目的政务云资源，于  年  月 日开通并正式运行，现予以确认。</w:t>
      </w:r>
    </w:p>
    <w:p w14:paraId="49534222">
      <w:pPr>
        <w:pStyle w:val="10"/>
        <w:spacing w:beforeLines="0" w:afterLines="0" w:line="579"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B46021F">
      <w:pPr>
        <w:pStyle w:val="10"/>
        <w:spacing w:beforeLines="0" w:afterLines="0" w:line="579"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政务云使用单位（盖章）  </w:t>
      </w:r>
    </w:p>
    <w:p w14:paraId="7F4D4CD6">
      <w:pPr>
        <w:pStyle w:val="10"/>
        <w:spacing w:beforeLines="0" w:afterLines="0" w:line="579"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44B0C214">
      <w:pPr>
        <w:pStyle w:val="10"/>
        <w:spacing w:beforeLines="0" w:afterLines="0" w:line="579" w:lineRule="exact"/>
        <w:sectPr>
          <w:pgSz w:w="11906" w:h="16838"/>
          <w:pgMar w:top="2098" w:right="1474" w:bottom="2135" w:left="1587" w:header="851" w:footer="992" w:gutter="0"/>
          <w:cols w:space="720" w:num="1"/>
          <w:docGrid w:type="lines" w:linePitch="312" w:charSpace="0"/>
        </w:sectPr>
      </w:pPr>
    </w:p>
    <w:p w14:paraId="73D6392E">
      <w:pPr>
        <w:spacing w:beforeLines="0" w:afterLines="0" w:line="579" w:lineRule="exact"/>
        <w:jc w:val="both"/>
        <w:rPr>
          <w:rFonts w:hint="eastAsia" w:ascii="黑体" w:hAnsi="黑体" w:eastAsia="黑体"/>
          <w:b w:val="0"/>
          <w:bCs/>
          <w:sz w:val="32"/>
          <w:szCs w:val="32"/>
          <w:lang w:val="en-US" w:eastAsia="zh-CN"/>
        </w:rPr>
      </w:pPr>
      <w:bookmarkStart w:id="43" w:name="_Toc28179376"/>
      <w:r>
        <w:rPr>
          <w:rFonts w:hint="eastAsia" w:ascii="黑体" w:hAnsi="黑体" w:eastAsia="黑体"/>
          <w:b w:val="0"/>
          <w:bCs/>
          <w:sz w:val="32"/>
          <w:szCs w:val="32"/>
          <w:lang w:val="en-US" w:eastAsia="zh-CN"/>
        </w:rPr>
        <w:t>附件3</w:t>
      </w:r>
    </w:p>
    <w:p w14:paraId="56B27D21">
      <w:pPr>
        <w:spacing w:beforeLines="0" w:afterLines="0" w:line="579" w:lineRule="exact"/>
        <w:jc w:val="center"/>
        <w:rPr>
          <w:rFonts w:hint="eastAsia" w:ascii="黑体" w:hAnsi="黑体" w:eastAsia="黑体"/>
          <w:b/>
          <w:sz w:val="32"/>
          <w:szCs w:val="32"/>
          <w:lang w:val="zh-CN"/>
        </w:rPr>
      </w:pPr>
    </w:p>
    <w:p w14:paraId="2D2AD3DB">
      <w:pPr>
        <w:spacing w:beforeLines="0" w:afterLines="0" w:line="579" w:lineRule="exact"/>
        <w:jc w:val="center"/>
        <w:rPr>
          <w:rFonts w:hint="eastAsia" w:ascii="黑体" w:hAnsi="黑体" w:eastAsia="黑体"/>
          <w:b/>
          <w:sz w:val="32"/>
          <w:szCs w:val="32"/>
          <w:lang w:val="zh-CN"/>
        </w:rPr>
      </w:pPr>
      <w:r>
        <w:rPr>
          <w:rFonts w:hint="eastAsia" w:ascii="黑体" w:hAnsi="黑体" w:eastAsia="黑体"/>
          <w:b/>
          <w:sz w:val="32"/>
          <w:szCs w:val="32"/>
          <w:lang w:val="zh-CN"/>
        </w:rPr>
        <w:t>济南政务云计算中心云</w:t>
      </w:r>
      <w:r>
        <w:rPr>
          <w:rFonts w:ascii="黑体" w:hAnsi="黑体" w:eastAsia="黑体"/>
          <w:b/>
          <w:sz w:val="32"/>
          <w:szCs w:val="32"/>
          <w:lang w:val="zh-CN"/>
        </w:rPr>
        <w:t>服务</w:t>
      </w:r>
      <w:r>
        <w:rPr>
          <w:rFonts w:hint="eastAsia" w:ascii="黑体" w:hAnsi="黑体" w:eastAsia="黑体"/>
          <w:b/>
          <w:sz w:val="32"/>
          <w:szCs w:val="32"/>
          <w:lang w:val="zh-CN"/>
        </w:rPr>
        <w:t>资源变更/注销申请表</w:t>
      </w:r>
      <w:bookmarkEnd w:id="43"/>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825"/>
        <w:gridCol w:w="1417"/>
        <w:gridCol w:w="1559"/>
        <w:gridCol w:w="1134"/>
        <w:gridCol w:w="2297"/>
      </w:tblGrid>
      <w:tr w14:paraId="40DD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2" w:type="dxa"/>
            <w:vAlign w:val="center"/>
          </w:tcPr>
          <w:p w14:paraId="171AF5B6">
            <w:pPr>
              <w:spacing w:beforeLines="0" w:afterLines="0" w:line="579" w:lineRule="exact"/>
              <w:jc w:val="center"/>
              <w:rPr>
                <w:rFonts w:hint="eastAsia" w:ascii="仿宋" w:hAnsi="仿宋" w:eastAsia="仿宋"/>
                <w:b/>
                <w:bCs/>
                <w:sz w:val="24"/>
              </w:rPr>
            </w:pPr>
            <w:r>
              <w:rPr>
                <w:rFonts w:ascii="仿宋" w:hAnsi="仿宋" w:eastAsia="仿宋"/>
                <w:b/>
                <w:bCs/>
                <w:sz w:val="24"/>
              </w:rPr>
              <w:t>单位名称</w:t>
            </w:r>
          </w:p>
        </w:tc>
        <w:tc>
          <w:tcPr>
            <w:tcW w:w="8232" w:type="dxa"/>
            <w:gridSpan w:val="5"/>
            <w:vAlign w:val="center"/>
          </w:tcPr>
          <w:p w14:paraId="27426828">
            <w:pPr>
              <w:spacing w:beforeLines="0" w:afterLines="0" w:line="579" w:lineRule="exact"/>
              <w:rPr>
                <w:rFonts w:hint="eastAsia" w:ascii="仿宋" w:hAnsi="仿宋" w:eastAsia="仿宋"/>
                <w:b/>
                <w:bCs/>
                <w:sz w:val="24"/>
              </w:rPr>
            </w:pPr>
          </w:p>
        </w:tc>
      </w:tr>
      <w:tr w14:paraId="1C9B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2" w:type="dxa"/>
            <w:vAlign w:val="center"/>
          </w:tcPr>
          <w:p w14:paraId="09E5F62A">
            <w:pPr>
              <w:spacing w:beforeLines="0" w:afterLines="0" w:line="579" w:lineRule="exact"/>
              <w:jc w:val="center"/>
              <w:rPr>
                <w:rFonts w:hint="eastAsia" w:ascii="仿宋" w:hAnsi="仿宋" w:eastAsia="仿宋"/>
                <w:b/>
                <w:bCs/>
                <w:sz w:val="24"/>
              </w:rPr>
            </w:pPr>
            <w:r>
              <w:rPr>
                <w:rFonts w:ascii="仿宋" w:hAnsi="仿宋" w:eastAsia="仿宋"/>
                <w:b/>
                <w:bCs/>
                <w:sz w:val="24"/>
              </w:rPr>
              <w:t>信息化负责人</w:t>
            </w:r>
          </w:p>
        </w:tc>
        <w:tc>
          <w:tcPr>
            <w:tcW w:w="1825" w:type="dxa"/>
            <w:vAlign w:val="center"/>
          </w:tcPr>
          <w:p w14:paraId="262F9AC9">
            <w:pPr>
              <w:spacing w:beforeLines="0" w:afterLines="0" w:line="579" w:lineRule="exact"/>
              <w:rPr>
                <w:rFonts w:hint="eastAsia" w:ascii="仿宋" w:hAnsi="仿宋" w:eastAsia="仿宋"/>
                <w:b/>
                <w:bCs/>
                <w:sz w:val="24"/>
              </w:rPr>
            </w:pPr>
          </w:p>
        </w:tc>
        <w:tc>
          <w:tcPr>
            <w:tcW w:w="1417" w:type="dxa"/>
            <w:vAlign w:val="center"/>
          </w:tcPr>
          <w:p w14:paraId="3A1C094D">
            <w:pPr>
              <w:spacing w:beforeLines="0" w:afterLines="0" w:line="579" w:lineRule="exact"/>
              <w:jc w:val="center"/>
              <w:rPr>
                <w:rFonts w:hint="eastAsia" w:ascii="仿宋" w:hAnsi="仿宋" w:eastAsia="仿宋"/>
                <w:b/>
                <w:bCs/>
                <w:sz w:val="24"/>
              </w:rPr>
            </w:pPr>
            <w:r>
              <w:rPr>
                <w:rFonts w:ascii="仿宋" w:hAnsi="仿宋" w:eastAsia="仿宋"/>
                <w:b/>
                <w:bCs/>
                <w:sz w:val="24"/>
              </w:rPr>
              <w:t>联系电话</w:t>
            </w:r>
          </w:p>
        </w:tc>
        <w:tc>
          <w:tcPr>
            <w:tcW w:w="1559" w:type="dxa"/>
            <w:vAlign w:val="center"/>
          </w:tcPr>
          <w:p w14:paraId="6B04F59B">
            <w:pPr>
              <w:spacing w:beforeLines="0" w:afterLines="0" w:line="579" w:lineRule="exact"/>
              <w:rPr>
                <w:rFonts w:hint="eastAsia" w:ascii="仿宋" w:hAnsi="仿宋" w:eastAsia="仿宋"/>
                <w:b/>
                <w:bCs/>
                <w:sz w:val="24"/>
              </w:rPr>
            </w:pPr>
          </w:p>
        </w:tc>
        <w:tc>
          <w:tcPr>
            <w:tcW w:w="1134" w:type="dxa"/>
            <w:vAlign w:val="center"/>
          </w:tcPr>
          <w:p w14:paraId="67D9BC74">
            <w:pPr>
              <w:spacing w:beforeLines="0" w:afterLines="0" w:line="579" w:lineRule="exact"/>
              <w:jc w:val="center"/>
              <w:rPr>
                <w:rFonts w:hint="eastAsia" w:ascii="仿宋" w:hAnsi="仿宋" w:eastAsia="仿宋"/>
                <w:b/>
                <w:bCs/>
                <w:sz w:val="24"/>
              </w:rPr>
            </w:pPr>
            <w:r>
              <w:rPr>
                <w:rFonts w:ascii="仿宋" w:hAnsi="仿宋" w:eastAsia="仿宋"/>
                <w:b/>
                <w:bCs/>
                <w:sz w:val="24"/>
              </w:rPr>
              <w:t>邮箱</w:t>
            </w:r>
          </w:p>
        </w:tc>
        <w:tc>
          <w:tcPr>
            <w:tcW w:w="2297" w:type="dxa"/>
            <w:vAlign w:val="center"/>
          </w:tcPr>
          <w:p w14:paraId="7DAEDD06">
            <w:pPr>
              <w:spacing w:beforeLines="0" w:afterLines="0" w:line="579" w:lineRule="exact"/>
              <w:rPr>
                <w:rFonts w:hint="eastAsia" w:ascii="仿宋" w:hAnsi="仿宋" w:eastAsia="仿宋"/>
                <w:b/>
                <w:bCs/>
                <w:sz w:val="24"/>
              </w:rPr>
            </w:pPr>
          </w:p>
        </w:tc>
      </w:tr>
      <w:tr w14:paraId="0B78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2" w:type="dxa"/>
            <w:vAlign w:val="center"/>
          </w:tcPr>
          <w:p w14:paraId="335E8BDB">
            <w:pPr>
              <w:spacing w:beforeLines="0" w:afterLines="0" w:line="579" w:lineRule="exact"/>
              <w:jc w:val="center"/>
              <w:rPr>
                <w:rFonts w:hint="eastAsia" w:ascii="仿宋" w:hAnsi="仿宋" w:eastAsia="仿宋"/>
                <w:b/>
                <w:bCs/>
                <w:sz w:val="24"/>
              </w:rPr>
            </w:pPr>
            <w:r>
              <w:rPr>
                <w:rFonts w:ascii="仿宋" w:hAnsi="仿宋" w:eastAsia="仿宋"/>
                <w:b/>
                <w:bCs/>
                <w:sz w:val="24"/>
              </w:rPr>
              <w:t>技术联系人</w:t>
            </w:r>
          </w:p>
        </w:tc>
        <w:tc>
          <w:tcPr>
            <w:tcW w:w="1825" w:type="dxa"/>
            <w:vAlign w:val="center"/>
          </w:tcPr>
          <w:p w14:paraId="3C3EDA9D">
            <w:pPr>
              <w:spacing w:beforeLines="0" w:afterLines="0" w:line="579" w:lineRule="exact"/>
              <w:rPr>
                <w:rFonts w:hint="eastAsia" w:ascii="仿宋" w:hAnsi="仿宋" w:eastAsia="仿宋"/>
                <w:b/>
                <w:bCs/>
                <w:sz w:val="24"/>
              </w:rPr>
            </w:pPr>
          </w:p>
        </w:tc>
        <w:tc>
          <w:tcPr>
            <w:tcW w:w="1417" w:type="dxa"/>
            <w:vAlign w:val="center"/>
          </w:tcPr>
          <w:p w14:paraId="72B220E2">
            <w:pPr>
              <w:spacing w:beforeLines="0" w:afterLines="0" w:line="579" w:lineRule="exact"/>
              <w:jc w:val="center"/>
              <w:rPr>
                <w:rFonts w:hint="eastAsia" w:ascii="仿宋" w:hAnsi="仿宋" w:eastAsia="仿宋"/>
                <w:b/>
                <w:bCs/>
                <w:sz w:val="24"/>
              </w:rPr>
            </w:pPr>
            <w:r>
              <w:rPr>
                <w:rFonts w:ascii="仿宋" w:hAnsi="仿宋" w:eastAsia="仿宋"/>
                <w:b/>
                <w:bCs/>
                <w:sz w:val="24"/>
              </w:rPr>
              <w:t>联系电话</w:t>
            </w:r>
          </w:p>
        </w:tc>
        <w:tc>
          <w:tcPr>
            <w:tcW w:w="1559" w:type="dxa"/>
            <w:vAlign w:val="center"/>
          </w:tcPr>
          <w:p w14:paraId="7F054D53">
            <w:pPr>
              <w:spacing w:beforeLines="0" w:afterLines="0" w:line="579" w:lineRule="exact"/>
              <w:rPr>
                <w:rFonts w:hint="eastAsia" w:ascii="仿宋" w:hAnsi="仿宋" w:eastAsia="仿宋"/>
                <w:b/>
                <w:bCs/>
                <w:sz w:val="24"/>
              </w:rPr>
            </w:pPr>
          </w:p>
        </w:tc>
        <w:tc>
          <w:tcPr>
            <w:tcW w:w="1134" w:type="dxa"/>
            <w:vAlign w:val="center"/>
          </w:tcPr>
          <w:p w14:paraId="0F469F49">
            <w:pPr>
              <w:spacing w:beforeLines="0" w:afterLines="0" w:line="579" w:lineRule="exact"/>
              <w:jc w:val="center"/>
              <w:rPr>
                <w:rFonts w:hint="eastAsia" w:ascii="仿宋" w:hAnsi="仿宋" w:eastAsia="仿宋"/>
                <w:b/>
                <w:bCs/>
                <w:sz w:val="24"/>
              </w:rPr>
            </w:pPr>
            <w:r>
              <w:rPr>
                <w:rFonts w:ascii="仿宋" w:hAnsi="仿宋" w:eastAsia="仿宋"/>
                <w:b/>
                <w:bCs/>
                <w:sz w:val="24"/>
              </w:rPr>
              <w:t>邮箱</w:t>
            </w:r>
          </w:p>
        </w:tc>
        <w:tc>
          <w:tcPr>
            <w:tcW w:w="2297" w:type="dxa"/>
            <w:vAlign w:val="center"/>
          </w:tcPr>
          <w:p w14:paraId="37D8B447">
            <w:pPr>
              <w:spacing w:beforeLines="0" w:afterLines="0" w:line="579" w:lineRule="exact"/>
              <w:rPr>
                <w:rFonts w:hint="eastAsia" w:ascii="仿宋" w:hAnsi="仿宋" w:eastAsia="仿宋"/>
                <w:b/>
                <w:bCs/>
                <w:sz w:val="24"/>
              </w:rPr>
            </w:pPr>
          </w:p>
        </w:tc>
      </w:tr>
      <w:tr w14:paraId="349C9C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7" w:hRule="atLeast"/>
          <w:jc w:val="center"/>
        </w:trPr>
        <w:tc>
          <w:tcPr>
            <w:tcW w:w="18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32B79C">
            <w:pPr>
              <w:pStyle w:val="12"/>
              <w:widowControl/>
              <w:spacing w:before="0" w:beforeLines="0" w:beforeAutospacing="0" w:after="0" w:afterLines="0" w:afterAutospacing="0" w:line="579" w:lineRule="exact"/>
              <w:jc w:val="center"/>
              <w:rPr>
                <w:rFonts w:hint="eastAsia" w:ascii="仿宋" w:hAnsi="仿宋" w:eastAsia="仿宋"/>
                <w:b/>
              </w:rPr>
            </w:pPr>
            <w:r>
              <w:rPr>
                <w:rFonts w:ascii="仿宋" w:hAnsi="仿宋" w:eastAsia="仿宋"/>
                <w:b/>
              </w:rPr>
              <w:t>系统名称</w:t>
            </w:r>
          </w:p>
        </w:tc>
        <w:tc>
          <w:tcPr>
            <w:tcW w:w="8232"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14:paraId="1815ABED">
            <w:pPr>
              <w:pStyle w:val="12"/>
              <w:widowControl/>
              <w:spacing w:before="0" w:beforeLines="0" w:beforeAutospacing="0" w:after="0" w:afterLines="0" w:afterAutospacing="0" w:line="579" w:lineRule="exact"/>
              <w:ind w:firstLine="420"/>
              <w:rPr>
                <w:rFonts w:hint="eastAsia" w:ascii="仿宋" w:hAnsi="仿宋" w:eastAsia="仿宋"/>
                <w:b/>
                <w:lang w:eastAsia="zh-CN"/>
              </w:rPr>
            </w:pPr>
            <w:r>
              <w:rPr>
                <w:rFonts w:hint="eastAsia" w:ascii="Calibri" w:hAnsi="Calibri" w:eastAsia="仿宋" w:cs="Calibri"/>
                <w:b/>
                <w:lang w:eastAsia="zh-CN"/>
              </w:rPr>
              <w:t xml:space="preserve">  </w:t>
            </w:r>
          </w:p>
        </w:tc>
      </w:tr>
      <w:tr w14:paraId="6C3EC7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1" w:hRule="atLeast"/>
          <w:jc w:val="center"/>
        </w:trPr>
        <w:tc>
          <w:tcPr>
            <w:tcW w:w="18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B05969">
            <w:pPr>
              <w:pStyle w:val="12"/>
              <w:widowControl/>
              <w:spacing w:before="0" w:beforeLines="0" w:beforeAutospacing="0" w:after="0" w:afterLines="0" w:afterAutospacing="0" w:line="579" w:lineRule="exact"/>
              <w:jc w:val="center"/>
              <w:rPr>
                <w:rFonts w:hint="eastAsia" w:ascii="仿宋" w:hAnsi="仿宋" w:eastAsia="仿宋"/>
                <w:b/>
              </w:rPr>
            </w:pPr>
            <w:r>
              <w:rPr>
                <w:rFonts w:ascii="仿宋" w:hAnsi="仿宋" w:eastAsia="仿宋"/>
                <w:b/>
              </w:rPr>
              <w:t>主要用途</w:t>
            </w:r>
          </w:p>
        </w:tc>
        <w:tc>
          <w:tcPr>
            <w:tcW w:w="8232"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14:paraId="34F64454">
            <w:pPr>
              <w:pStyle w:val="12"/>
              <w:widowControl/>
              <w:spacing w:before="0" w:beforeLines="0" w:beforeAutospacing="0" w:after="0" w:afterLines="0" w:afterAutospacing="0" w:line="579" w:lineRule="exact"/>
              <w:ind w:firstLine="420"/>
              <w:rPr>
                <w:rFonts w:hint="eastAsia" w:ascii="仿宋" w:hAnsi="仿宋" w:eastAsia="仿宋"/>
                <w:b/>
                <w:lang w:eastAsia="zh-CN"/>
              </w:rPr>
            </w:pPr>
            <w:r>
              <w:rPr>
                <w:rFonts w:hint="eastAsia" w:ascii="Calibri" w:hAnsi="Calibri" w:eastAsia="仿宋" w:cs="Calibri"/>
                <w:b/>
                <w:lang w:eastAsia="zh-CN"/>
              </w:rPr>
              <w:t xml:space="preserve">  </w:t>
            </w:r>
          </w:p>
        </w:tc>
      </w:tr>
      <w:tr w14:paraId="10DAEB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35" w:hRule="atLeast"/>
          <w:jc w:val="center"/>
        </w:trPr>
        <w:tc>
          <w:tcPr>
            <w:tcW w:w="18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B162303">
            <w:pPr>
              <w:pStyle w:val="12"/>
              <w:widowControl/>
              <w:spacing w:before="0" w:beforeLines="0" w:beforeAutospacing="0" w:after="0" w:afterLines="0" w:afterAutospacing="0" w:line="579" w:lineRule="exact"/>
              <w:jc w:val="center"/>
              <w:rPr>
                <w:rFonts w:hint="eastAsia" w:ascii="仿宋" w:hAnsi="仿宋" w:eastAsia="仿宋"/>
                <w:b/>
              </w:rPr>
            </w:pPr>
            <w:r>
              <w:rPr>
                <w:rFonts w:ascii="仿宋" w:hAnsi="仿宋" w:eastAsia="仿宋"/>
                <w:b/>
              </w:rPr>
              <w:t>变更/注销原因</w:t>
            </w:r>
          </w:p>
        </w:tc>
        <w:tc>
          <w:tcPr>
            <w:tcW w:w="8232"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14:paraId="515F82EB">
            <w:pPr>
              <w:pStyle w:val="12"/>
              <w:widowControl/>
              <w:spacing w:before="0" w:beforeLines="0" w:beforeAutospacing="0" w:after="0" w:afterLines="0" w:afterAutospacing="0" w:line="579" w:lineRule="exact"/>
              <w:ind w:firstLine="420"/>
              <w:rPr>
                <w:rFonts w:hint="eastAsia" w:ascii="仿宋" w:hAnsi="仿宋" w:eastAsia="仿宋"/>
                <w:b/>
                <w:lang w:eastAsia="zh-CN"/>
              </w:rPr>
            </w:pPr>
            <w:r>
              <w:rPr>
                <w:rFonts w:hint="eastAsia" w:ascii="Calibri" w:hAnsi="Calibri" w:eastAsia="仿宋" w:cs="Calibri"/>
                <w:b/>
                <w:lang w:eastAsia="zh-CN"/>
              </w:rPr>
              <w:t xml:space="preserve">  </w:t>
            </w:r>
          </w:p>
          <w:p w14:paraId="012CCC6B">
            <w:pPr>
              <w:pStyle w:val="12"/>
              <w:widowControl/>
              <w:spacing w:before="0" w:beforeLines="0" w:beforeAutospacing="0" w:after="0" w:afterLines="0" w:afterAutospacing="0" w:line="579" w:lineRule="exact"/>
              <w:ind w:firstLine="420"/>
              <w:rPr>
                <w:rFonts w:hint="eastAsia" w:ascii="仿宋" w:hAnsi="仿宋" w:eastAsia="仿宋"/>
                <w:b/>
                <w:lang w:eastAsia="zh-CN"/>
              </w:rPr>
            </w:pPr>
            <w:r>
              <w:rPr>
                <w:rFonts w:hint="eastAsia" w:ascii="Calibri" w:hAnsi="Calibri" w:eastAsia="仿宋" w:cs="Calibri"/>
                <w:b/>
                <w:lang w:eastAsia="zh-CN"/>
              </w:rPr>
              <w:t xml:space="preserve">  </w:t>
            </w:r>
          </w:p>
        </w:tc>
      </w:tr>
      <w:tr w14:paraId="7B99E6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11" w:hRule="atLeast"/>
          <w:jc w:val="center"/>
        </w:trPr>
        <w:tc>
          <w:tcPr>
            <w:tcW w:w="18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99AC95E">
            <w:pPr>
              <w:pStyle w:val="12"/>
              <w:widowControl/>
              <w:spacing w:before="0" w:beforeLines="0" w:beforeAutospacing="0" w:after="0" w:afterLines="0" w:afterAutospacing="0" w:line="579" w:lineRule="exact"/>
              <w:jc w:val="center"/>
              <w:rPr>
                <w:rFonts w:hint="eastAsia" w:ascii="仿宋" w:hAnsi="仿宋" w:eastAsia="仿宋"/>
                <w:b/>
              </w:rPr>
            </w:pPr>
            <w:r>
              <w:rPr>
                <w:rFonts w:ascii="仿宋" w:hAnsi="仿宋" w:eastAsia="仿宋"/>
                <w:b/>
              </w:rPr>
              <w:t>变更/注销前配置</w:t>
            </w:r>
          </w:p>
        </w:tc>
        <w:tc>
          <w:tcPr>
            <w:tcW w:w="8232"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14:paraId="7A9B590E">
            <w:pPr>
              <w:pStyle w:val="12"/>
              <w:widowControl/>
              <w:spacing w:before="0" w:beforeLines="0" w:beforeAutospacing="0" w:after="0" w:afterLines="0" w:afterAutospacing="0" w:line="579" w:lineRule="exact"/>
              <w:ind w:firstLine="420"/>
              <w:rPr>
                <w:rFonts w:hint="eastAsia" w:ascii="仿宋" w:hAnsi="仿宋" w:eastAsia="仿宋"/>
                <w:b/>
                <w:lang w:eastAsia="zh-CN"/>
              </w:rPr>
            </w:pPr>
            <w:r>
              <w:rPr>
                <w:rFonts w:hint="eastAsia" w:ascii="Calibri" w:hAnsi="Calibri" w:eastAsia="仿宋" w:cs="Calibri"/>
                <w:b/>
                <w:lang w:eastAsia="zh-CN"/>
              </w:rPr>
              <w:t xml:space="preserve">  </w:t>
            </w:r>
          </w:p>
          <w:p w14:paraId="3DD3753F">
            <w:pPr>
              <w:pStyle w:val="12"/>
              <w:widowControl/>
              <w:spacing w:before="0" w:beforeLines="0" w:beforeAutospacing="0" w:after="0" w:afterLines="0" w:afterAutospacing="0" w:line="579" w:lineRule="exact"/>
              <w:ind w:firstLine="420"/>
              <w:rPr>
                <w:rFonts w:hint="eastAsia" w:ascii="仿宋" w:hAnsi="仿宋" w:eastAsia="仿宋"/>
                <w:b/>
                <w:lang w:eastAsia="zh-CN"/>
              </w:rPr>
            </w:pPr>
            <w:r>
              <w:rPr>
                <w:rFonts w:hint="eastAsia" w:ascii="Calibri" w:hAnsi="Calibri" w:eastAsia="仿宋" w:cs="Calibri"/>
                <w:b/>
                <w:lang w:eastAsia="zh-CN"/>
              </w:rPr>
              <w:t xml:space="preserve">  </w:t>
            </w:r>
          </w:p>
        </w:tc>
      </w:tr>
      <w:tr w14:paraId="71E13A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10" w:hRule="atLeast"/>
          <w:jc w:val="center"/>
        </w:trPr>
        <w:tc>
          <w:tcPr>
            <w:tcW w:w="18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1A15CF">
            <w:pPr>
              <w:pStyle w:val="12"/>
              <w:widowControl/>
              <w:spacing w:before="0" w:beforeLines="0" w:beforeAutospacing="0" w:after="0" w:afterLines="0" w:afterAutospacing="0" w:line="579" w:lineRule="exact"/>
              <w:jc w:val="center"/>
              <w:rPr>
                <w:rFonts w:hint="eastAsia" w:ascii="仿宋" w:hAnsi="仿宋" w:eastAsia="仿宋"/>
                <w:b/>
              </w:rPr>
            </w:pPr>
            <w:r>
              <w:rPr>
                <w:rFonts w:ascii="仿宋" w:hAnsi="仿宋" w:eastAsia="仿宋"/>
                <w:b/>
              </w:rPr>
              <w:t>变更/注销后配置</w:t>
            </w:r>
          </w:p>
        </w:tc>
        <w:tc>
          <w:tcPr>
            <w:tcW w:w="8232"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14:paraId="4F43F8DC">
            <w:pPr>
              <w:pStyle w:val="12"/>
              <w:widowControl/>
              <w:spacing w:before="0" w:beforeLines="0" w:beforeAutospacing="0" w:after="0" w:afterLines="0" w:afterAutospacing="0" w:line="579" w:lineRule="exact"/>
              <w:ind w:firstLine="420"/>
              <w:rPr>
                <w:rFonts w:hint="eastAsia" w:ascii="仿宋" w:hAnsi="仿宋" w:eastAsia="仿宋"/>
                <w:b/>
              </w:rPr>
            </w:pPr>
            <w:r>
              <w:rPr>
                <w:rFonts w:ascii="仿宋" w:hAnsi="仿宋" w:eastAsia="仿宋"/>
                <w:b/>
              </w:rPr>
              <w:t>（停止使用填“注销”）</w:t>
            </w:r>
          </w:p>
          <w:p w14:paraId="27E0F226">
            <w:pPr>
              <w:pStyle w:val="12"/>
              <w:widowControl/>
              <w:spacing w:before="0" w:beforeLines="0" w:beforeAutospacing="0" w:after="0" w:afterLines="0" w:afterAutospacing="0" w:line="579" w:lineRule="exact"/>
              <w:ind w:firstLine="420"/>
              <w:rPr>
                <w:rFonts w:hint="eastAsia" w:ascii="仿宋" w:hAnsi="仿宋" w:eastAsia="仿宋"/>
                <w:b/>
                <w:lang w:eastAsia="zh-CN"/>
              </w:rPr>
            </w:pPr>
            <w:r>
              <w:rPr>
                <w:rFonts w:hint="eastAsia" w:ascii="Calibri" w:hAnsi="Calibri" w:eastAsia="仿宋" w:cs="Calibri"/>
                <w:b/>
                <w:lang w:eastAsia="zh-CN"/>
              </w:rPr>
              <w:t xml:space="preserve">  </w:t>
            </w:r>
          </w:p>
          <w:p w14:paraId="5D4D3CC6">
            <w:pPr>
              <w:pStyle w:val="12"/>
              <w:widowControl/>
              <w:spacing w:before="0" w:beforeLines="0" w:beforeAutospacing="0" w:after="0" w:afterLines="0" w:afterAutospacing="0" w:line="579" w:lineRule="exact"/>
              <w:ind w:firstLine="420"/>
              <w:rPr>
                <w:rFonts w:hint="eastAsia" w:ascii="仿宋" w:hAnsi="仿宋" w:eastAsia="仿宋"/>
                <w:b/>
                <w:lang w:eastAsia="zh-CN"/>
              </w:rPr>
            </w:pPr>
            <w:r>
              <w:rPr>
                <w:rFonts w:hint="eastAsia" w:ascii="Calibri" w:hAnsi="Calibri" w:eastAsia="仿宋" w:cs="Calibri"/>
                <w:b/>
                <w:lang w:eastAsia="zh-CN"/>
              </w:rPr>
              <w:t xml:space="preserve">  </w:t>
            </w:r>
          </w:p>
        </w:tc>
      </w:tr>
      <w:tr w14:paraId="123956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76" w:hRule="atLeast"/>
          <w:jc w:val="center"/>
        </w:trPr>
        <w:tc>
          <w:tcPr>
            <w:tcW w:w="10094"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14:paraId="6EB20B1B">
            <w:pPr>
              <w:pStyle w:val="12"/>
              <w:widowControl/>
              <w:spacing w:before="0" w:beforeLines="0" w:beforeAutospacing="0" w:after="0" w:afterLines="0" w:afterAutospacing="0" w:line="579" w:lineRule="exact"/>
              <w:rPr>
                <w:rFonts w:hint="eastAsia" w:ascii="仿宋" w:hAnsi="仿宋" w:eastAsia="仿宋"/>
                <w:b/>
              </w:rPr>
            </w:pPr>
            <w:r>
              <w:rPr>
                <w:rFonts w:hint="eastAsia" w:ascii="仿宋" w:hAnsi="仿宋" w:eastAsia="仿宋"/>
                <w:b/>
              </w:rPr>
              <w:t>申请单位意见（所属事业单位同时需由主管部门盖章）</w:t>
            </w:r>
            <w:r>
              <w:rPr>
                <w:rFonts w:ascii="仿宋" w:hAnsi="仿宋" w:eastAsia="仿宋"/>
                <w:b/>
                <w:bCs/>
              </w:rPr>
              <w:t>：</w:t>
            </w:r>
          </w:p>
          <w:p w14:paraId="7C212CA4">
            <w:pPr>
              <w:pStyle w:val="12"/>
              <w:widowControl/>
              <w:spacing w:before="0" w:beforeLines="0" w:beforeAutospacing="0" w:after="0" w:afterLines="0" w:afterAutospacing="0" w:line="579" w:lineRule="exact"/>
              <w:ind w:firstLine="420"/>
              <w:rPr>
                <w:rFonts w:hint="eastAsia" w:ascii="仿宋" w:hAnsi="仿宋" w:eastAsia="仿宋"/>
                <w:b/>
                <w:lang w:eastAsia="zh-CN"/>
              </w:rPr>
            </w:pPr>
            <w:r>
              <w:rPr>
                <w:rFonts w:hint="eastAsia" w:ascii="Calibri" w:hAnsi="Calibri" w:eastAsia="仿宋" w:cs="Calibri"/>
                <w:b/>
                <w:lang w:eastAsia="zh-CN"/>
              </w:rPr>
              <w:t xml:space="preserve">  </w:t>
            </w:r>
          </w:p>
          <w:p w14:paraId="43C0EF7C">
            <w:pPr>
              <w:pStyle w:val="12"/>
              <w:widowControl/>
              <w:spacing w:before="0" w:beforeLines="0" w:beforeAutospacing="0" w:after="0" w:afterLines="0" w:afterAutospacing="0" w:line="579" w:lineRule="exact"/>
              <w:ind w:firstLine="6505" w:firstLineChars="2700"/>
              <w:rPr>
                <w:rFonts w:hint="eastAsia" w:ascii="仿宋" w:hAnsi="仿宋" w:eastAsia="仿宋"/>
                <w:b/>
              </w:rPr>
            </w:pPr>
            <w:r>
              <w:rPr>
                <w:rFonts w:ascii="仿宋" w:hAnsi="仿宋" w:eastAsia="仿宋"/>
                <w:b/>
              </w:rPr>
              <w:t>（公</w:t>
            </w:r>
            <w:r>
              <w:rPr>
                <w:rFonts w:hint="eastAsia" w:ascii="Calibri" w:hAnsi="Calibri" w:eastAsia="仿宋" w:cs="Calibri"/>
                <w:b/>
                <w:lang w:eastAsia="zh-CN"/>
              </w:rPr>
              <w:t xml:space="preserve">  </w:t>
            </w:r>
            <w:r>
              <w:rPr>
                <w:rFonts w:ascii="仿宋" w:hAnsi="仿宋" w:eastAsia="仿宋"/>
                <w:b/>
              </w:rPr>
              <w:t xml:space="preserve"> 章）</w:t>
            </w:r>
          </w:p>
          <w:p w14:paraId="68E0079F">
            <w:pPr>
              <w:pStyle w:val="12"/>
              <w:widowControl/>
              <w:spacing w:before="0" w:beforeLines="0" w:beforeAutospacing="0" w:after="0" w:afterLines="0" w:afterAutospacing="0" w:line="579" w:lineRule="exact"/>
              <w:ind w:firstLine="420"/>
              <w:jc w:val="center"/>
              <w:rPr>
                <w:rFonts w:hint="eastAsia" w:ascii="仿宋" w:hAnsi="仿宋" w:eastAsia="仿宋"/>
                <w:b/>
              </w:rPr>
            </w:pPr>
            <w:r>
              <w:rPr>
                <w:rFonts w:ascii="仿宋" w:hAnsi="仿宋" w:eastAsia="仿宋"/>
                <w:b/>
              </w:rPr>
              <w:t xml:space="preserve">                                 年</w:t>
            </w:r>
            <w:r>
              <w:rPr>
                <w:rFonts w:hint="eastAsia" w:ascii="Calibri" w:hAnsi="Calibri" w:eastAsia="仿宋" w:cs="Calibri"/>
                <w:b/>
                <w:lang w:eastAsia="zh-CN"/>
              </w:rPr>
              <w:t xml:space="preserve">        </w:t>
            </w:r>
            <w:r>
              <w:rPr>
                <w:rFonts w:ascii="仿宋" w:hAnsi="仿宋" w:eastAsia="仿宋"/>
                <w:b/>
              </w:rPr>
              <w:t xml:space="preserve"> 月</w:t>
            </w:r>
            <w:r>
              <w:rPr>
                <w:rFonts w:hint="eastAsia" w:ascii="Calibri" w:hAnsi="Calibri" w:eastAsia="仿宋" w:cs="Calibri"/>
                <w:b/>
                <w:lang w:eastAsia="zh-CN"/>
              </w:rPr>
              <w:t xml:space="preserve">        </w:t>
            </w:r>
            <w:r>
              <w:rPr>
                <w:rFonts w:ascii="仿宋" w:hAnsi="仿宋" w:eastAsia="仿宋"/>
                <w:b/>
              </w:rPr>
              <w:t xml:space="preserve"> 日</w:t>
            </w:r>
          </w:p>
        </w:tc>
      </w:tr>
      <w:tr w14:paraId="789BB1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0" w:hRule="atLeast"/>
          <w:jc w:val="center"/>
        </w:trPr>
        <w:tc>
          <w:tcPr>
            <w:tcW w:w="10094"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14:paraId="390BAE95">
            <w:pPr>
              <w:spacing w:beforeLines="0" w:afterLines="0" w:line="579" w:lineRule="exact"/>
              <w:rPr>
                <w:rFonts w:hint="eastAsia" w:ascii="仿宋" w:hAnsi="仿宋" w:eastAsia="仿宋"/>
                <w:b/>
                <w:bCs/>
                <w:sz w:val="24"/>
              </w:rPr>
            </w:pPr>
            <w:r>
              <w:rPr>
                <w:rFonts w:hint="eastAsia" w:ascii="仿宋" w:hAnsi="仿宋" w:eastAsia="仿宋"/>
                <w:b/>
                <w:bCs/>
                <w:sz w:val="24"/>
              </w:rPr>
              <w:t>管理部门意见</w:t>
            </w:r>
            <w:r>
              <w:rPr>
                <w:rFonts w:ascii="仿宋" w:hAnsi="仿宋" w:eastAsia="仿宋"/>
                <w:b/>
                <w:bCs/>
                <w:sz w:val="24"/>
              </w:rPr>
              <w:t>：</w:t>
            </w:r>
          </w:p>
          <w:p w14:paraId="02BA6964">
            <w:pPr>
              <w:spacing w:beforeLines="0" w:afterLines="0" w:line="579" w:lineRule="exact"/>
              <w:ind w:firstLine="6144" w:firstLineChars="2550"/>
              <w:rPr>
                <w:rFonts w:hint="eastAsia" w:ascii="仿宋" w:hAnsi="仿宋" w:eastAsia="仿宋"/>
                <w:b/>
                <w:bCs/>
                <w:sz w:val="24"/>
              </w:rPr>
            </w:pPr>
          </w:p>
          <w:p w14:paraId="443147F4">
            <w:pPr>
              <w:spacing w:beforeLines="0" w:afterLines="0" w:line="579" w:lineRule="exact"/>
              <w:ind w:firstLine="6505" w:firstLineChars="2700"/>
              <w:rPr>
                <w:rFonts w:hint="eastAsia" w:ascii="仿宋" w:hAnsi="仿宋" w:eastAsia="仿宋"/>
                <w:b/>
                <w:bCs/>
                <w:sz w:val="24"/>
              </w:rPr>
            </w:pPr>
            <w:r>
              <w:rPr>
                <w:rFonts w:ascii="仿宋" w:hAnsi="仿宋" w:eastAsia="仿宋"/>
                <w:b/>
                <w:bCs/>
                <w:sz w:val="24"/>
              </w:rPr>
              <w:t>（公  章）</w:t>
            </w:r>
          </w:p>
          <w:p w14:paraId="40C3095D">
            <w:pPr>
              <w:spacing w:beforeLines="0" w:afterLines="0" w:line="579" w:lineRule="exact"/>
              <w:ind w:left="840" w:leftChars="400" w:firstLine="5692" w:firstLineChars="2700"/>
              <w:rPr>
                <w:rFonts w:hint="eastAsia" w:ascii="仿宋" w:hAnsi="仿宋" w:eastAsia="仿宋"/>
                <w:b/>
                <w:bCs/>
                <w:sz w:val="24"/>
              </w:rPr>
            </w:pPr>
            <w:r>
              <w:rPr>
                <w:rFonts w:ascii="仿宋" w:hAnsi="仿宋" w:eastAsia="仿宋"/>
                <w:b/>
              </w:rPr>
              <w:t>年</w:t>
            </w:r>
            <w:r>
              <w:rPr>
                <w:rFonts w:hint="eastAsia" w:eastAsia="仿宋" w:cs="Calibri"/>
                <w:b/>
                <w:lang w:eastAsia="zh-CN"/>
              </w:rPr>
              <w:t xml:space="preserve">        </w:t>
            </w:r>
            <w:r>
              <w:rPr>
                <w:rFonts w:ascii="仿宋" w:hAnsi="仿宋" w:eastAsia="仿宋"/>
                <w:b/>
              </w:rPr>
              <w:t xml:space="preserve"> 月</w:t>
            </w:r>
            <w:r>
              <w:rPr>
                <w:rFonts w:hint="eastAsia" w:eastAsia="仿宋" w:cs="Calibri"/>
                <w:b/>
                <w:lang w:eastAsia="zh-CN"/>
              </w:rPr>
              <w:t xml:space="preserve">        </w:t>
            </w:r>
            <w:r>
              <w:rPr>
                <w:rFonts w:ascii="仿宋" w:hAnsi="仿宋" w:eastAsia="仿宋"/>
                <w:b/>
              </w:rPr>
              <w:t xml:space="preserve"> 日</w:t>
            </w:r>
            <w:r>
              <w:rPr>
                <w:rFonts w:ascii="仿宋" w:hAnsi="仿宋" w:eastAsia="仿宋"/>
                <w:b/>
                <w:bCs/>
                <w:sz w:val="24"/>
              </w:rPr>
              <w:t xml:space="preserve">                                                 </w:t>
            </w:r>
          </w:p>
        </w:tc>
      </w:tr>
    </w:tbl>
    <w:p w14:paraId="324A9A4E">
      <w:pPr>
        <w:keepNext w:val="0"/>
        <w:keepLines w:val="0"/>
        <w:pageBreakBefore w:val="0"/>
        <w:widowControl w:val="0"/>
        <w:kinsoku/>
        <w:wordWrap/>
        <w:overflowPunct/>
        <w:topLinePunct w:val="0"/>
        <w:autoSpaceDE/>
        <w:autoSpaceDN/>
        <w:bidi w:val="0"/>
        <w:adjustRightInd/>
        <w:snapToGrid/>
        <w:spacing w:before="157" w:beforeLines="50" w:line="579" w:lineRule="exact"/>
        <w:textAlignment w:val="auto"/>
        <w:rPr>
          <w:rFonts w:hint="default" w:ascii="仿宋_GB2312" w:hAnsi="仿宋_GB2312" w:eastAsia="仿宋_GB2312" w:cs="仿宋_GB2312"/>
          <w:i w:val="0"/>
          <w:iCs w:val="0"/>
          <w:caps w:val="0"/>
          <w:color w:val="auto"/>
          <w:spacing w:val="0"/>
          <w:sz w:val="32"/>
          <w:szCs w:val="32"/>
          <w:lang w:val="en-US" w:eastAsia="zh-CN"/>
        </w:rPr>
      </w:pPr>
    </w:p>
    <w:p w14:paraId="03583654">
      <w:pPr>
        <w:pStyle w:val="8"/>
        <w:rPr>
          <w:rFonts w:hint="default" w:ascii="仿宋_GB2312" w:hAnsi="仿宋_GB2312" w:eastAsia="仿宋_GB2312" w:cs="仿宋_GB2312"/>
          <w:i w:val="0"/>
          <w:iCs w:val="0"/>
          <w:caps w:val="0"/>
          <w:color w:val="auto"/>
          <w:spacing w:val="0"/>
          <w:sz w:val="32"/>
          <w:szCs w:val="32"/>
          <w:lang w:val="en-US" w:eastAsia="zh-CN"/>
        </w:rPr>
      </w:pPr>
    </w:p>
    <w:p w14:paraId="2CC75072">
      <w:pPr>
        <w:pStyle w:val="8"/>
        <w:rPr>
          <w:rFonts w:hint="default" w:ascii="仿宋_GB2312" w:hAnsi="仿宋_GB2312" w:eastAsia="仿宋_GB2312" w:cs="仿宋_GB2312"/>
          <w:i w:val="0"/>
          <w:iCs w:val="0"/>
          <w:caps w:val="0"/>
          <w:color w:val="auto"/>
          <w:spacing w:val="0"/>
          <w:sz w:val="32"/>
          <w:szCs w:val="32"/>
          <w:lang w:val="en-US" w:eastAsia="zh-CN"/>
        </w:rPr>
      </w:pPr>
    </w:p>
    <w:p w14:paraId="24E3264D">
      <w:pPr>
        <w:pStyle w:val="8"/>
        <w:rPr>
          <w:rFonts w:hint="default" w:ascii="仿宋_GB2312" w:hAnsi="仿宋_GB2312" w:eastAsia="仿宋_GB2312" w:cs="仿宋_GB2312"/>
          <w:i w:val="0"/>
          <w:iCs w:val="0"/>
          <w:caps w:val="0"/>
          <w:color w:val="auto"/>
          <w:spacing w:val="0"/>
          <w:sz w:val="32"/>
          <w:szCs w:val="32"/>
          <w:lang w:val="en-US" w:eastAsia="zh-CN"/>
        </w:rPr>
      </w:pPr>
    </w:p>
    <w:p w14:paraId="246B5D7D">
      <w:pPr>
        <w:pStyle w:val="8"/>
        <w:rPr>
          <w:rFonts w:hint="default" w:ascii="仿宋_GB2312" w:hAnsi="仿宋_GB2312" w:eastAsia="仿宋_GB2312" w:cs="仿宋_GB2312"/>
          <w:i w:val="0"/>
          <w:iCs w:val="0"/>
          <w:caps w:val="0"/>
          <w:color w:val="auto"/>
          <w:spacing w:val="0"/>
          <w:sz w:val="32"/>
          <w:szCs w:val="32"/>
          <w:lang w:val="en-US" w:eastAsia="zh-CN"/>
        </w:rPr>
      </w:pPr>
    </w:p>
    <w:p w14:paraId="1100CD3A">
      <w:pPr>
        <w:pStyle w:val="8"/>
        <w:rPr>
          <w:rFonts w:hint="default" w:ascii="仿宋_GB2312" w:hAnsi="仿宋_GB2312" w:eastAsia="仿宋_GB2312" w:cs="仿宋_GB2312"/>
          <w:i w:val="0"/>
          <w:iCs w:val="0"/>
          <w:caps w:val="0"/>
          <w:color w:val="auto"/>
          <w:spacing w:val="0"/>
          <w:sz w:val="32"/>
          <w:szCs w:val="32"/>
          <w:lang w:val="en-US" w:eastAsia="zh-CN"/>
        </w:rPr>
      </w:pPr>
    </w:p>
    <w:p w14:paraId="7B1A0453">
      <w:pPr>
        <w:pStyle w:val="8"/>
        <w:rPr>
          <w:rFonts w:hint="default" w:ascii="仿宋_GB2312" w:hAnsi="仿宋_GB2312" w:eastAsia="仿宋_GB2312" w:cs="仿宋_GB2312"/>
          <w:i w:val="0"/>
          <w:iCs w:val="0"/>
          <w:caps w:val="0"/>
          <w:color w:val="auto"/>
          <w:spacing w:val="0"/>
          <w:sz w:val="32"/>
          <w:szCs w:val="32"/>
          <w:lang w:val="en-US" w:eastAsia="zh-CN"/>
        </w:rPr>
      </w:pPr>
    </w:p>
    <w:p w14:paraId="18BC9120">
      <w:pPr>
        <w:pStyle w:val="8"/>
        <w:rPr>
          <w:rFonts w:hint="default" w:ascii="仿宋_GB2312" w:hAnsi="仿宋_GB2312" w:eastAsia="仿宋_GB2312" w:cs="仿宋_GB2312"/>
          <w:i w:val="0"/>
          <w:iCs w:val="0"/>
          <w:caps w:val="0"/>
          <w:color w:val="auto"/>
          <w:spacing w:val="0"/>
          <w:sz w:val="32"/>
          <w:szCs w:val="32"/>
          <w:lang w:val="en-US" w:eastAsia="zh-CN"/>
        </w:rPr>
      </w:pPr>
    </w:p>
    <w:p w14:paraId="7FAD440D">
      <w:pPr>
        <w:pStyle w:val="8"/>
        <w:rPr>
          <w:rFonts w:hint="default" w:ascii="仿宋_GB2312" w:hAnsi="仿宋_GB2312" w:eastAsia="仿宋_GB2312" w:cs="仿宋_GB2312"/>
          <w:i w:val="0"/>
          <w:iCs w:val="0"/>
          <w:caps w:val="0"/>
          <w:color w:val="auto"/>
          <w:spacing w:val="0"/>
          <w:sz w:val="32"/>
          <w:szCs w:val="32"/>
          <w:lang w:val="en-US" w:eastAsia="zh-CN"/>
        </w:rPr>
      </w:pPr>
    </w:p>
    <w:p w14:paraId="2C679683">
      <w:pPr>
        <w:pStyle w:val="8"/>
        <w:rPr>
          <w:rFonts w:hint="default" w:ascii="仿宋_GB2312" w:hAnsi="仿宋_GB2312" w:eastAsia="仿宋_GB2312" w:cs="仿宋_GB2312"/>
          <w:i w:val="0"/>
          <w:iCs w:val="0"/>
          <w:caps w:val="0"/>
          <w:color w:val="auto"/>
          <w:spacing w:val="0"/>
          <w:sz w:val="32"/>
          <w:szCs w:val="32"/>
          <w:lang w:val="en-US" w:eastAsia="zh-CN"/>
        </w:rPr>
      </w:pPr>
    </w:p>
    <w:p w14:paraId="7963A798">
      <w:pPr>
        <w:pStyle w:val="8"/>
        <w:rPr>
          <w:rFonts w:hint="default" w:ascii="仿宋_GB2312" w:hAnsi="仿宋_GB2312" w:eastAsia="仿宋_GB2312" w:cs="仿宋_GB2312"/>
          <w:i w:val="0"/>
          <w:iCs w:val="0"/>
          <w:caps w:val="0"/>
          <w:color w:val="auto"/>
          <w:spacing w:val="0"/>
          <w:sz w:val="32"/>
          <w:szCs w:val="32"/>
          <w:lang w:val="en-US" w:eastAsia="zh-CN"/>
        </w:rPr>
      </w:pPr>
    </w:p>
    <w:p w14:paraId="3AECF9AE">
      <w:pPr>
        <w:pStyle w:val="8"/>
        <w:rPr>
          <w:rFonts w:hint="default" w:ascii="仿宋_GB2312" w:hAnsi="仿宋_GB2312" w:eastAsia="仿宋_GB2312" w:cs="仿宋_GB2312"/>
          <w:i w:val="0"/>
          <w:iCs w:val="0"/>
          <w:caps w:val="0"/>
          <w:color w:val="auto"/>
          <w:spacing w:val="0"/>
          <w:sz w:val="32"/>
          <w:szCs w:val="32"/>
          <w:lang w:val="en-US" w:eastAsia="zh-CN"/>
        </w:rPr>
      </w:pPr>
    </w:p>
    <w:p w14:paraId="27BC9BF0">
      <w:pPr>
        <w:pStyle w:val="8"/>
        <w:rPr>
          <w:rFonts w:hint="default" w:ascii="仿宋_GB2312" w:hAnsi="仿宋_GB2312" w:eastAsia="仿宋_GB2312" w:cs="仿宋_GB2312"/>
          <w:i w:val="0"/>
          <w:iCs w:val="0"/>
          <w:caps w:val="0"/>
          <w:color w:val="auto"/>
          <w:spacing w:val="0"/>
          <w:sz w:val="32"/>
          <w:szCs w:val="32"/>
          <w:lang w:val="en-US" w:eastAsia="zh-CN"/>
        </w:rPr>
      </w:pPr>
    </w:p>
    <w:p w14:paraId="3AC13A5A">
      <w:pPr>
        <w:pStyle w:val="8"/>
        <w:rPr>
          <w:rFonts w:hint="default" w:ascii="仿宋_GB2312" w:hAnsi="仿宋_GB2312" w:eastAsia="仿宋_GB2312" w:cs="仿宋_GB2312"/>
          <w:i w:val="0"/>
          <w:iCs w:val="0"/>
          <w:caps w:val="0"/>
          <w:color w:val="auto"/>
          <w:spacing w:val="0"/>
          <w:sz w:val="32"/>
          <w:szCs w:val="32"/>
          <w:lang w:val="en-US" w:eastAsia="zh-CN"/>
        </w:rPr>
      </w:pPr>
    </w:p>
    <w:p w14:paraId="15DD1786">
      <w:pPr>
        <w:pStyle w:val="8"/>
        <w:rPr>
          <w:rFonts w:hint="default" w:ascii="仿宋_GB2312" w:hAnsi="仿宋_GB2312" w:eastAsia="仿宋_GB2312" w:cs="仿宋_GB2312"/>
          <w:i w:val="0"/>
          <w:iCs w:val="0"/>
          <w:caps w:val="0"/>
          <w:color w:val="auto"/>
          <w:spacing w:val="0"/>
          <w:sz w:val="32"/>
          <w:szCs w:val="32"/>
          <w:lang w:val="en-US" w:eastAsia="zh-CN"/>
        </w:rPr>
      </w:pPr>
    </w:p>
    <w:p w14:paraId="69D05CC5">
      <w:pPr>
        <w:pStyle w:val="8"/>
        <w:rPr>
          <w:rFonts w:hint="default" w:ascii="仿宋_GB2312" w:hAnsi="仿宋_GB2312" w:eastAsia="仿宋_GB2312" w:cs="仿宋_GB2312"/>
          <w:i w:val="0"/>
          <w:iCs w:val="0"/>
          <w:caps w:val="0"/>
          <w:color w:val="auto"/>
          <w:spacing w:val="0"/>
          <w:sz w:val="32"/>
          <w:szCs w:val="32"/>
          <w:lang w:val="en-US" w:eastAsia="zh-CN"/>
        </w:rPr>
      </w:pPr>
    </w:p>
    <w:p w14:paraId="46D28DC2">
      <w:pPr>
        <w:pStyle w:val="8"/>
        <w:rPr>
          <w:rFonts w:hint="default" w:ascii="仿宋_GB2312" w:hAnsi="仿宋_GB2312" w:eastAsia="仿宋_GB2312" w:cs="仿宋_GB2312"/>
          <w:i w:val="0"/>
          <w:iCs w:val="0"/>
          <w:caps w:val="0"/>
          <w:color w:val="auto"/>
          <w:spacing w:val="0"/>
          <w:sz w:val="32"/>
          <w:szCs w:val="32"/>
          <w:lang w:val="en-US" w:eastAsia="zh-CN"/>
        </w:rPr>
      </w:pPr>
    </w:p>
    <w:p w14:paraId="23DE8779">
      <w:pPr>
        <w:pStyle w:val="8"/>
        <w:rPr>
          <w:rFonts w:hint="default" w:ascii="仿宋_GB2312" w:hAnsi="仿宋_GB2312" w:eastAsia="仿宋_GB2312" w:cs="仿宋_GB2312"/>
          <w:i w:val="0"/>
          <w:iCs w:val="0"/>
          <w:caps w:val="0"/>
          <w:color w:val="auto"/>
          <w:spacing w:val="0"/>
          <w:sz w:val="32"/>
          <w:szCs w:val="32"/>
          <w:lang w:val="en-US" w:eastAsia="zh-CN"/>
        </w:rPr>
      </w:pPr>
    </w:p>
    <w:p w14:paraId="13278886">
      <w:pPr>
        <w:pStyle w:val="8"/>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default" w:ascii="仿宋_GB2312" w:hAnsi="仿宋_GB2312" w:eastAsia="仿宋_GB2312" w:cs="仿宋_GB2312"/>
          <w:i w:val="0"/>
          <w:iCs w:val="0"/>
          <w:caps w:val="0"/>
          <w:color w:val="auto"/>
          <w:spacing w:val="0"/>
          <w:sz w:val="32"/>
          <w:szCs w:val="32"/>
          <w:lang w:val="en-US" w:eastAsia="zh-CN"/>
        </w:rPr>
      </w:pPr>
    </w:p>
    <w:p w14:paraId="30A7A066">
      <w:pPr>
        <w:spacing w:line="620" w:lineRule="exact"/>
        <w:jc w:val="center"/>
        <w:rPr>
          <w:rFonts w:hint="eastAsia" w:ascii="黑体" w:hAnsi="黑体" w:eastAsia="黑体" w:cs="黑体"/>
          <w:i w:val="0"/>
          <w:caps w:val="0"/>
          <w:color w:val="auto"/>
          <w:spacing w:val="0"/>
          <w:kern w:val="0"/>
          <w:sz w:val="32"/>
          <w:szCs w:val="32"/>
          <w:shd w:val="clear" w:fill="FFFFFF"/>
          <w:lang w:val="en-US" w:eastAsia="zh-CN" w:bidi="ar"/>
        </w:rPr>
      </w:pPr>
      <w:bookmarkStart w:id="44" w:name="_GoBack"/>
      <w:bookmarkEnd w:id="44"/>
    </w:p>
    <w:sectPr>
      <w:footerReference r:id="rId6" w:type="default"/>
      <w:pgSz w:w="11906" w:h="16838"/>
      <w:pgMar w:top="1701" w:right="1474" w:bottom="1587" w:left="1587" w:header="851" w:footer="992" w:gutter="0"/>
      <w:pgBorders>
        <w:top w:val="none" w:sz="0" w:space="0"/>
        <w:left w:val="none" w:sz="0" w:space="0"/>
        <w:bottom w:val="none" w:sz="0" w:space="0"/>
        <w:right w:val="none" w:sz="0" w:space="0"/>
      </w:pgBorders>
      <w:pgNumType w:fmt="decimal" w:start="1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84D6DE-408C-4AA7-8E3C-2EDFBE9B69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C823E46-F7C5-48F8-88FF-B683CD29E7FD}"/>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embedRegular r:id="rId3" w:fontKey="{1942241C-66C0-4051-B112-896AFFA0790D}"/>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4" w:fontKey="{77C6D32B-6265-41F1-933F-CCE5C2300030}"/>
  </w:font>
  <w:font w:name="方正小标宋简体">
    <w:panose1 w:val="02000000000000000000"/>
    <w:charset w:val="86"/>
    <w:family w:val="auto"/>
    <w:pitch w:val="default"/>
    <w:sig w:usb0="00000001" w:usb1="08000000" w:usb2="00000000" w:usb3="00000000" w:csb0="00040000" w:csb1="00000000"/>
    <w:embedRegular r:id="rId5" w:fontKey="{EABE04C8-09E0-41B0-9250-0C161187794C}"/>
  </w:font>
  <w:font w:name="方正小标宋_GBK">
    <w:panose1 w:val="02000000000000000000"/>
    <w:charset w:val="86"/>
    <w:family w:val="script"/>
    <w:pitch w:val="default"/>
    <w:sig w:usb0="A00002BF" w:usb1="38CF7CFA" w:usb2="00082016" w:usb3="00000000" w:csb0="00040001" w:csb1="00000000"/>
    <w:embedRegular r:id="rId6" w:fontKey="{C8B7DB4B-F088-46A2-9B67-D918A5050289}"/>
  </w:font>
  <w:font w:name="仿宋">
    <w:panose1 w:val="02010609060101010101"/>
    <w:charset w:val="86"/>
    <w:family w:val="modern"/>
    <w:pitch w:val="default"/>
    <w:sig w:usb0="800002BF" w:usb1="38CF7CFA" w:usb2="00000016" w:usb3="00000000" w:csb0="00040001" w:csb1="00000000"/>
    <w:embedRegular r:id="rId7" w:fontKey="{5A1473FA-8990-45BA-BD2A-72A5EF58065B}"/>
  </w:font>
  <w:font w:name="方正公文小标宋">
    <w:altName w:val="宋体"/>
    <w:panose1 w:val="02000500000000000000"/>
    <w:charset w:val="7A"/>
    <w:family w:val="auto"/>
    <w:pitch w:val="default"/>
    <w:sig w:usb0="00000000" w:usb1="00000000" w:usb2="00000016" w:usb3="00000000" w:csb0="00040001" w:csb1="00000000"/>
    <w:embedRegular r:id="rId8" w:fontKey="{29214627-AAD1-4498-B201-51059560B8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40D88">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4DDF03">
                          <w:pPr>
                            <w:pStyle w:val="10"/>
                            <w:ind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14DDF03">
                    <w:pPr>
                      <w:pStyle w:val="10"/>
                      <w:ind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287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5E28">
                          <w:pPr>
                            <w:pStyle w:val="10"/>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25</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535E28">
                    <w:pPr>
                      <w:pStyle w:val="10"/>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25</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E91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44B01">
                          <w:pPr>
                            <w:pStyle w:val="10"/>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25</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5244B01">
                    <w:pPr>
                      <w:pStyle w:val="10"/>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25</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33EE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51C8B">
                          <w:pPr>
                            <w:pStyle w:val="10"/>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25</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351C8B">
                    <w:pPr>
                      <w:pStyle w:val="10"/>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25</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OWEyZDhiNzNiNGU1YTE3ZWNlNzI3N2YxYjgxOGIifQ=="/>
  </w:docVars>
  <w:rsids>
    <w:rsidRoot w:val="6F6053C9"/>
    <w:rsid w:val="002C48E2"/>
    <w:rsid w:val="008E34FA"/>
    <w:rsid w:val="00E42C03"/>
    <w:rsid w:val="013E5324"/>
    <w:rsid w:val="025F4662"/>
    <w:rsid w:val="02D378AC"/>
    <w:rsid w:val="032002D7"/>
    <w:rsid w:val="035A26D3"/>
    <w:rsid w:val="049525BD"/>
    <w:rsid w:val="049D07A1"/>
    <w:rsid w:val="064E024E"/>
    <w:rsid w:val="07064092"/>
    <w:rsid w:val="08720554"/>
    <w:rsid w:val="08B461E2"/>
    <w:rsid w:val="09027726"/>
    <w:rsid w:val="09201CCE"/>
    <w:rsid w:val="0A681693"/>
    <w:rsid w:val="0A9970A5"/>
    <w:rsid w:val="0AD452EA"/>
    <w:rsid w:val="0C1A42EF"/>
    <w:rsid w:val="0CAC0156"/>
    <w:rsid w:val="0F290F29"/>
    <w:rsid w:val="119733B3"/>
    <w:rsid w:val="12257ED3"/>
    <w:rsid w:val="125941F4"/>
    <w:rsid w:val="125E4936"/>
    <w:rsid w:val="1332191F"/>
    <w:rsid w:val="13B64015"/>
    <w:rsid w:val="143C6D8F"/>
    <w:rsid w:val="14A07475"/>
    <w:rsid w:val="150F0169"/>
    <w:rsid w:val="158E0F88"/>
    <w:rsid w:val="15E76991"/>
    <w:rsid w:val="17BA72C2"/>
    <w:rsid w:val="18F37407"/>
    <w:rsid w:val="194A7D0C"/>
    <w:rsid w:val="196A494E"/>
    <w:rsid w:val="197C30CC"/>
    <w:rsid w:val="1D567831"/>
    <w:rsid w:val="206D3F96"/>
    <w:rsid w:val="23136287"/>
    <w:rsid w:val="23155C0A"/>
    <w:rsid w:val="236D431B"/>
    <w:rsid w:val="23D93386"/>
    <w:rsid w:val="24821818"/>
    <w:rsid w:val="249E3E2E"/>
    <w:rsid w:val="2506517C"/>
    <w:rsid w:val="260B2217"/>
    <w:rsid w:val="26987BA7"/>
    <w:rsid w:val="26B47E36"/>
    <w:rsid w:val="275F3968"/>
    <w:rsid w:val="27F14232"/>
    <w:rsid w:val="28C75DE2"/>
    <w:rsid w:val="2B215270"/>
    <w:rsid w:val="2BA611ED"/>
    <w:rsid w:val="2C2C5F28"/>
    <w:rsid w:val="2C543E03"/>
    <w:rsid w:val="2C675170"/>
    <w:rsid w:val="2C691EA4"/>
    <w:rsid w:val="2C774911"/>
    <w:rsid w:val="2D645D18"/>
    <w:rsid w:val="2DAC3BFD"/>
    <w:rsid w:val="2DEA79E8"/>
    <w:rsid w:val="305A72B8"/>
    <w:rsid w:val="307C1C92"/>
    <w:rsid w:val="33C44425"/>
    <w:rsid w:val="341D0311"/>
    <w:rsid w:val="347949D6"/>
    <w:rsid w:val="35795A17"/>
    <w:rsid w:val="357E7DC1"/>
    <w:rsid w:val="359758E5"/>
    <w:rsid w:val="36311790"/>
    <w:rsid w:val="375008CE"/>
    <w:rsid w:val="39BF75E9"/>
    <w:rsid w:val="3A4A23D9"/>
    <w:rsid w:val="3D6267D9"/>
    <w:rsid w:val="3E802D65"/>
    <w:rsid w:val="3F8B29CC"/>
    <w:rsid w:val="4171417E"/>
    <w:rsid w:val="438C541C"/>
    <w:rsid w:val="45CA3214"/>
    <w:rsid w:val="47D44278"/>
    <w:rsid w:val="47DE65E3"/>
    <w:rsid w:val="482358D2"/>
    <w:rsid w:val="48C36A49"/>
    <w:rsid w:val="49AC6B34"/>
    <w:rsid w:val="4AC57851"/>
    <w:rsid w:val="4AD36F68"/>
    <w:rsid w:val="4B1A1BE2"/>
    <w:rsid w:val="4BFE0015"/>
    <w:rsid w:val="4C975E4E"/>
    <w:rsid w:val="4CA14CC6"/>
    <w:rsid w:val="4DF47921"/>
    <w:rsid w:val="512A2DAB"/>
    <w:rsid w:val="51A0140F"/>
    <w:rsid w:val="527A5569"/>
    <w:rsid w:val="52EF73C4"/>
    <w:rsid w:val="54583FED"/>
    <w:rsid w:val="55F66018"/>
    <w:rsid w:val="587E5B28"/>
    <w:rsid w:val="596B428A"/>
    <w:rsid w:val="5A3C4156"/>
    <w:rsid w:val="5BB560BF"/>
    <w:rsid w:val="5BF7646D"/>
    <w:rsid w:val="5E5D5CE0"/>
    <w:rsid w:val="5F08322C"/>
    <w:rsid w:val="60051A8A"/>
    <w:rsid w:val="608E59B3"/>
    <w:rsid w:val="60EF0940"/>
    <w:rsid w:val="62990CAB"/>
    <w:rsid w:val="62BF5C3B"/>
    <w:rsid w:val="64900E0A"/>
    <w:rsid w:val="66495137"/>
    <w:rsid w:val="66E73F82"/>
    <w:rsid w:val="66E915F4"/>
    <w:rsid w:val="69884D83"/>
    <w:rsid w:val="6A0C1B0B"/>
    <w:rsid w:val="6A7259B9"/>
    <w:rsid w:val="6ACD58A0"/>
    <w:rsid w:val="6B59505A"/>
    <w:rsid w:val="6D8B6D1D"/>
    <w:rsid w:val="6E0700F1"/>
    <w:rsid w:val="6EDE091B"/>
    <w:rsid w:val="6F6053C9"/>
    <w:rsid w:val="6FB57D45"/>
    <w:rsid w:val="6FD24A3E"/>
    <w:rsid w:val="71192D04"/>
    <w:rsid w:val="728A58AF"/>
    <w:rsid w:val="733428CA"/>
    <w:rsid w:val="74040FB3"/>
    <w:rsid w:val="74A67741"/>
    <w:rsid w:val="75452AD2"/>
    <w:rsid w:val="75841DBA"/>
    <w:rsid w:val="768D428E"/>
    <w:rsid w:val="77921962"/>
    <w:rsid w:val="79016318"/>
    <w:rsid w:val="79562EE8"/>
    <w:rsid w:val="7A886B78"/>
    <w:rsid w:val="7B62074E"/>
    <w:rsid w:val="7B712C09"/>
    <w:rsid w:val="7BC830A0"/>
    <w:rsid w:val="7C0D486D"/>
    <w:rsid w:val="7C133EBD"/>
    <w:rsid w:val="7D83464C"/>
    <w:rsid w:val="7E9738FA"/>
    <w:rsid w:val="7EF64BC4"/>
    <w:rsid w:val="7F6F72A3"/>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100"/>
      <w:ind w:left="420" w:leftChars="200"/>
      <w:outlineLvl w:val="0"/>
    </w:pPr>
    <w:rPr>
      <w:rFonts w:eastAsia="黑体"/>
      <w:b/>
      <w:kern w:val="44"/>
    </w:rPr>
  </w:style>
  <w:style w:type="paragraph" w:styleId="5">
    <w:name w:val="heading 2"/>
    <w:basedOn w:val="1"/>
    <w:next w:val="1"/>
    <w:unhideWhenUsed/>
    <w:qFormat/>
    <w:uiPriority w:val="0"/>
    <w:pPr>
      <w:keepNext/>
      <w:keepLines/>
      <w:kinsoku w:val="0"/>
      <w:overflowPunct w:val="0"/>
      <w:autoSpaceDE w:val="0"/>
      <w:autoSpaceDN w:val="0"/>
      <w:adjustRightInd w:val="0"/>
      <w:snapToGrid w:val="0"/>
      <w:spacing w:before="0" w:after="0" w:line="600" w:lineRule="exact"/>
      <w:ind w:firstLine="720" w:firstLineChars="200"/>
      <w:outlineLvl w:val="1"/>
    </w:pPr>
    <w:rPr>
      <w:rFonts w:ascii="Cambria" w:hAnsi="Cambria" w:eastAsia="楷体_GB2312" w:cs="Times New Roman"/>
      <w:bCs/>
      <w:sz w:val="32"/>
      <w:szCs w:val="32"/>
    </w:rPr>
  </w:style>
  <w:style w:type="paragraph" w:styleId="6">
    <w:name w:val="heading 3"/>
    <w:basedOn w:val="1"/>
    <w:next w:val="1"/>
    <w:link w:val="19"/>
    <w:qFormat/>
    <w:uiPriority w:val="0"/>
    <w:pPr>
      <w:keepNext/>
      <w:keepLines/>
      <w:spacing w:beforeLines="0" w:beforeAutospacing="0" w:afterLines="0" w:afterAutospacing="0" w:line="240" w:lineRule="auto"/>
      <w:ind w:left="420" w:leftChars="200"/>
      <w:outlineLvl w:val="2"/>
    </w:pPr>
    <w:rPr>
      <w:sz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paragraph" w:styleId="3">
    <w:name w:val="Body Text Indent"/>
    <w:basedOn w:val="1"/>
    <w:autoRedefine/>
    <w:unhideWhenUsed/>
    <w:qFormat/>
    <w:uiPriority w:val="99"/>
    <w:pPr>
      <w:widowControl w:val="0"/>
      <w:spacing w:after="120"/>
      <w:ind w:left="420" w:leftChars="200"/>
      <w:jc w:val="both"/>
    </w:pPr>
    <w:rPr>
      <w:rFonts w:eastAsia="宋体" w:asciiTheme="minorHAnsi" w:hAnsiTheme="minorHAnsi" w:cstheme="minorBidi"/>
      <w:kern w:val="2"/>
      <w:sz w:val="21"/>
      <w:szCs w:val="21"/>
      <w:lang w:val="en-US" w:eastAsia="zh-CN" w:bidi="ar-SA"/>
    </w:rPr>
  </w:style>
  <w:style w:type="paragraph" w:styleId="7">
    <w:name w:val="Normal Indent"/>
    <w:basedOn w:val="1"/>
    <w:autoRedefine/>
    <w:qFormat/>
    <w:uiPriority w:val="0"/>
    <w:pPr>
      <w:ind w:firstLine="420" w:firstLineChars="200"/>
    </w:pPr>
  </w:style>
  <w:style w:type="paragraph" w:styleId="8">
    <w:name w:val="Body Text"/>
    <w:basedOn w:val="1"/>
    <w:autoRedefine/>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9">
    <w:name w:val="Plain Text"/>
    <w:basedOn w:val="1"/>
    <w:autoRedefine/>
    <w:qFormat/>
    <w:uiPriority w:val="0"/>
    <w:rPr>
      <w:rFonts w:ascii="宋体" w:hAnsi="Courier New"/>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table" w:styleId="1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autoRedefine/>
    <w:qFormat/>
    <w:uiPriority w:val="0"/>
    <w:rPr>
      <w:color w:val="0000FF"/>
      <w:u w:val="single"/>
    </w:rPr>
  </w:style>
  <w:style w:type="character" w:customStyle="1" w:styleId="18">
    <w:name w:val="fontstyle01"/>
    <w:basedOn w:val="15"/>
    <w:qFormat/>
    <w:uiPriority w:val="0"/>
    <w:rPr>
      <w:rFonts w:hint="eastAsia" w:ascii="仿宋_GB2312" w:eastAsia="仿宋_GB2312"/>
      <w:color w:val="000000"/>
      <w:sz w:val="32"/>
      <w:szCs w:val="32"/>
    </w:rPr>
  </w:style>
  <w:style w:type="character" w:customStyle="1" w:styleId="19">
    <w:name w:val="标题 3 Char"/>
    <w:basedOn w:val="15"/>
    <w:link w:val="6"/>
    <w:qFormat/>
    <w:uiPriority w:val="0"/>
    <w:rPr>
      <w:sz w:val="32"/>
    </w:rPr>
  </w:style>
  <w:style w:type="character" w:customStyle="1" w:styleId="20">
    <w:name w:val="标题 3 字符"/>
    <w:basedOn w:val="15"/>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4" Type="http://schemas.openxmlformats.org/officeDocument/2006/relationships/fontTable" Target="fontTable.xml"/><Relationship Id="rId43" Type="http://schemas.openxmlformats.org/officeDocument/2006/relationships/customXml" Target="../customXml/item1.xml"/><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footer" Target="footer2.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er" Target="footer1.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4231</Words>
  <Characters>4352</Characters>
  <Lines>0</Lines>
  <Paragraphs>0</Paragraphs>
  <TotalTime>15</TotalTime>
  <ScaleCrop>false</ScaleCrop>
  <LinksUpToDate>false</LinksUpToDate>
  <CharactersWithSpaces>5030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咸鱼糖小姐</cp:lastModifiedBy>
  <cp:lastPrinted>2025-01-02T08:05:00Z</cp:lastPrinted>
  <dcterms:modified xsi:type="dcterms:W3CDTF">2025-01-06T03:04:18Z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7551B466964640799D29DD131C0C541A_13</vt:lpwstr>
  </property>
  <property fmtid="{D5CDD505-2E9C-101B-9397-08002B2CF9AE}" pid="4" name="KSOTemplateDocerSaveRecord">
    <vt:lpwstr>eyJoZGlkIjoiOTk0ZGVmMDg1Y2QyYjhkZGM5NGZlNjUzZWZiMjNlYTciLCJ1c2VySWQiOiIyMjk5MTM4OTgifQ==</vt:lpwstr>
  </property>
</Properties>
</file>