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BEFC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14:paraId="51505E35">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14:paraId="7B199EB4">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14:paraId="611594BD">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14:paraId="317FA97B">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14:paraId="15BA9618">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rPr>
        <w:t>济南新旧动能转换</w:t>
      </w:r>
      <w:r>
        <w:rPr>
          <w:rFonts w:ascii="Times New Roman" w:hAnsi="Times New Roman" w:eastAsia="方正小标宋简体" w:cs="Times New Roman"/>
          <w:spacing w:val="6"/>
          <w:sz w:val="44"/>
          <w:szCs w:val="44"/>
        </w:rPr>
        <w:t>起步区</w:t>
      </w:r>
      <w:r>
        <w:rPr>
          <w:rFonts w:hint="eastAsia" w:ascii="Times New Roman" w:hAnsi="Times New Roman" w:eastAsia="方正小标宋简体" w:cs="Times New Roman"/>
          <w:spacing w:val="6"/>
          <w:sz w:val="44"/>
          <w:szCs w:val="44"/>
        </w:rPr>
        <w:t>管理委员会</w:t>
      </w:r>
    </w:p>
    <w:p w14:paraId="2BF88BE0">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rPr>
        <w:t>关于公布济南新旧动能转换起步区行政执法主体的通知</w:t>
      </w:r>
    </w:p>
    <w:p w14:paraId="77E64011">
      <w:pPr>
        <w:keepNext w:val="0"/>
        <w:keepLines w:val="0"/>
        <w:pageBreakBefore w:val="0"/>
        <w:widowControl w:val="0"/>
        <w:kinsoku/>
        <w:wordWrap/>
        <w:overflowPunct/>
        <w:topLinePunct w:val="0"/>
        <w:autoSpaceDE/>
        <w:autoSpaceDN/>
        <w:bidi w:val="0"/>
        <w:spacing w:line="579" w:lineRule="exact"/>
        <w:ind w:left="0" w:leftChars="0"/>
        <w:textAlignment w:val="auto"/>
        <w:rPr>
          <w:rFonts w:ascii="Times New Roman" w:hAnsi="Times New Roman" w:eastAsia="仿宋_GB2312" w:cs="Times New Roman"/>
          <w:sz w:val="32"/>
          <w:szCs w:val="32"/>
        </w:rPr>
      </w:pPr>
    </w:p>
    <w:p w14:paraId="7FC0A4F6">
      <w:pPr>
        <w:keepNext w:val="0"/>
        <w:keepLines w:val="0"/>
        <w:pageBreakBefore w:val="0"/>
        <w:widowControl w:val="0"/>
        <w:kinsoku/>
        <w:wordWrap/>
        <w:overflowPunct/>
        <w:topLinePunct w:val="0"/>
        <w:autoSpaceDE/>
        <w:autoSpaceDN/>
        <w:bidi w:val="0"/>
        <w:spacing w:line="579" w:lineRule="exact"/>
        <w:ind w:left="0" w:leftChars="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各街道</w:t>
      </w:r>
      <w:r>
        <w:rPr>
          <w:rFonts w:hint="eastAsia" w:ascii="仿宋_GB2312" w:hAnsi="仿宋_GB2312" w:eastAsia="仿宋_GB2312" w:cs="仿宋_GB2312"/>
          <w:spacing w:val="0"/>
          <w:sz w:val="32"/>
          <w:szCs w:val="32"/>
        </w:rPr>
        <w:t>办事处</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各职能部门、</w:t>
      </w:r>
      <w:r>
        <w:rPr>
          <w:rFonts w:hint="eastAsia" w:ascii="Times New Roman" w:hAnsi="Times New Roman" w:eastAsia="仿宋_GB2312" w:cs="Times New Roman"/>
          <w:sz w:val="32"/>
          <w:szCs w:val="32"/>
          <w:lang w:val="en-US" w:eastAsia="zh-CN"/>
        </w:rPr>
        <w:t>直属单位，</w:t>
      </w:r>
      <w:r>
        <w:rPr>
          <w:rFonts w:hint="eastAsia" w:ascii="Times New Roman" w:hAnsi="Times New Roman" w:eastAsia="仿宋_GB2312" w:cs="Times New Roman"/>
          <w:sz w:val="32"/>
          <w:szCs w:val="32"/>
        </w:rPr>
        <w:t>驻区各单位</w:t>
      </w:r>
      <w:r>
        <w:rPr>
          <w:rFonts w:ascii="Times New Roman" w:hAnsi="Times New Roman" w:eastAsia="仿宋_GB2312" w:cs="Times New Roman"/>
          <w:sz w:val="32"/>
          <w:szCs w:val="32"/>
        </w:rPr>
        <w:t>：</w:t>
      </w:r>
    </w:p>
    <w:p w14:paraId="5C4E58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val="en-US" w:eastAsia="zh-CN"/>
        </w:rPr>
        <w:t>全面落实行政执法公示制度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推进行政执法主体和职能的法定化，</w:t>
      </w:r>
      <w:r>
        <w:rPr>
          <w:rFonts w:hint="eastAsia" w:ascii="仿宋_GB2312" w:hAnsi="仿宋_GB2312" w:eastAsia="仿宋_GB2312" w:cs="仿宋_GB2312"/>
          <w:color w:val="auto"/>
          <w:sz w:val="32"/>
          <w:szCs w:val="32"/>
        </w:rPr>
        <w:t>根据《山东省行政执法监督条例》</w:t>
      </w:r>
      <w:r>
        <w:rPr>
          <w:rFonts w:hint="eastAsia" w:ascii="仿宋_GB2312" w:hAnsi="仿宋_GB2312" w:eastAsia="仿宋_GB2312" w:cs="仿宋_GB2312"/>
          <w:sz w:val="32"/>
          <w:szCs w:val="32"/>
          <w:lang w:val="en-US" w:eastAsia="zh-CN"/>
        </w:rPr>
        <w:t>《山东省人民代表大会常务委员会关于济南新旧动能转换起步区行政管理有关事项的决定》</w:t>
      </w:r>
      <w:r>
        <w:rPr>
          <w:rFonts w:hint="eastAsia" w:ascii="仿宋_GB2312" w:hAnsi="仿宋_GB2312" w:eastAsia="仿宋_GB2312" w:cs="仿宋_GB2312"/>
          <w:color w:val="auto"/>
          <w:sz w:val="32"/>
          <w:szCs w:val="32"/>
          <w:lang w:eastAsia="zh-CN"/>
        </w:rPr>
        <w:t>《国务院办公厅关于印发</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提升行政执法质量三年行动计划（2023—2025年）</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（国办发〔2023〕27号）</w:t>
      </w:r>
      <w:r>
        <w:rPr>
          <w:rFonts w:hint="eastAsia" w:ascii="仿宋_GB2312" w:hAnsi="仿宋_GB2312" w:eastAsia="仿宋_GB2312" w:cs="仿宋_GB2312"/>
          <w:spacing w:val="0"/>
          <w:sz w:val="32"/>
          <w:szCs w:val="32"/>
        </w:rPr>
        <w:t>及有关法律法规、规章规定，经</w:t>
      </w:r>
      <w:r>
        <w:rPr>
          <w:rFonts w:hint="eastAsia" w:ascii="仿宋_GB2312" w:hAnsi="仿宋_GB2312" w:eastAsia="仿宋_GB2312" w:cs="仿宋_GB2312"/>
          <w:spacing w:val="0"/>
          <w:sz w:val="32"/>
          <w:szCs w:val="32"/>
          <w:lang w:val="en-US" w:eastAsia="zh-CN"/>
        </w:rPr>
        <w:t>审核确认，并经管委会同意，</w:t>
      </w:r>
      <w:r>
        <w:rPr>
          <w:rFonts w:hint="eastAsia" w:ascii="仿宋_GB2312" w:hAnsi="仿宋_GB2312" w:eastAsia="仿宋_GB2312" w:cs="仿宋_GB2312"/>
          <w:spacing w:val="0"/>
          <w:sz w:val="32"/>
          <w:szCs w:val="32"/>
        </w:rPr>
        <w:t>现将济南新旧动能转换起步区行政执法主体予以公布（名单</w:t>
      </w:r>
      <w:r>
        <w:rPr>
          <w:rFonts w:hint="eastAsia" w:ascii="仿宋_GB2312" w:hAnsi="仿宋_GB2312" w:eastAsia="仿宋_GB2312" w:cs="仿宋_GB2312"/>
          <w:spacing w:val="0"/>
          <w:sz w:val="32"/>
          <w:szCs w:val="32"/>
          <w:lang w:val="en-US" w:eastAsia="zh-CN"/>
        </w:rPr>
        <w:t>附后</w:t>
      </w:r>
      <w:r>
        <w:rPr>
          <w:rFonts w:hint="eastAsia" w:ascii="仿宋_GB2312" w:hAnsi="仿宋_GB2312" w:eastAsia="仿宋_GB2312" w:cs="仿宋_GB2312"/>
          <w:spacing w:val="0"/>
          <w:sz w:val="32"/>
          <w:szCs w:val="32"/>
        </w:rPr>
        <w:t>）。</w:t>
      </w:r>
    </w:p>
    <w:p w14:paraId="032BD9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6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行政执法主体应当按照</w:t>
      </w:r>
      <w:r>
        <w:rPr>
          <w:rFonts w:hint="eastAsia" w:ascii="仿宋_GB2312" w:hAnsi="仿宋_GB2312" w:eastAsia="仿宋_GB2312" w:cs="仿宋_GB2312"/>
          <w:color w:val="auto"/>
          <w:sz w:val="32"/>
          <w:szCs w:val="32"/>
          <w:lang w:eastAsia="zh-CN"/>
        </w:rPr>
        <w:t>法律法规</w:t>
      </w:r>
      <w:r>
        <w:rPr>
          <w:rFonts w:hint="eastAsia" w:ascii="仿宋_GB2312" w:hAnsi="仿宋_GB2312" w:eastAsia="仿宋_GB2312" w:cs="仿宋_GB2312"/>
          <w:color w:val="auto"/>
          <w:sz w:val="32"/>
          <w:szCs w:val="32"/>
        </w:rPr>
        <w:t>和规章要求，结合职责规定，认真履行行政执法职能，切实做到严格规范公正文明执法。行政机关依据法律法规、规章的规定开展委托行政执法的，应当与受委托的行政机关或者组织签订书面委托协议，将受委托主体和委托的行政职权内容予以公开。在管委会各职能部门挂牌的机构根据相关法律法规、规章的规定，以挂牌机构名义对外开展行政执法工作。</w:t>
      </w:r>
    </w:p>
    <w:p w14:paraId="127C3BD7">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今后，凡起步区行政执法主体发生设立、分立、合并以及主体资格取消等情形的，有关部门应当及时报管委会司法行政部门审查，经管委会确认后向社会公布。</w:t>
      </w:r>
    </w:p>
    <w:p w14:paraId="26B408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jc w:val="both"/>
        <w:textAlignment w:val="auto"/>
        <w:rPr>
          <w:rFonts w:hint="eastAsia" w:ascii="仿宋_GB2312" w:hAnsi="仿宋_GB2312" w:eastAsia="仿宋_GB2312" w:cs="仿宋_GB2312"/>
          <w:spacing w:val="0"/>
          <w:w w:val="100"/>
          <w:sz w:val="32"/>
          <w:szCs w:val="32"/>
        </w:rPr>
      </w:pPr>
    </w:p>
    <w:p w14:paraId="53F5867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left"/>
        <w:textAlignment w:val="auto"/>
        <w:rPr>
          <w:rFonts w:hint="eastAsia"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附件：济南新旧动能转换起步区行政执法主体名单</w:t>
      </w:r>
    </w:p>
    <w:p w14:paraId="0B8D217C">
      <w:pPr>
        <w:keepNext w:val="0"/>
        <w:keepLines w:val="0"/>
        <w:pageBreakBefore w:val="0"/>
        <w:widowControl w:val="0"/>
        <w:tabs>
          <w:tab w:val="left" w:pos="5250"/>
        </w:tabs>
        <w:kinsoku/>
        <w:wordWrap/>
        <w:overflowPunct/>
        <w:topLinePunct w:val="0"/>
        <w:autoSpaceDE/>
        <w:autoSpaceDN/>
        <w:bidi w:val="0"/>
        <w:spacing w:line="579" w:lineRule="exact"/>
        <w:ind w:left="0" w:leftChars="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ab/>
      </w:r>
    </w:p>
    <w:p w14:paraId="4D5BCFBE">
      <w:pPr>
        <w:keepNext w:val="0"/>
        <w:keepLines w:val="0"/>
        <w:pageBreakBefore w:val="0"/>
        <w:widowControl w:val="0"/>
        <w:kinsoku/>
        <w:wordWrap/>
        <w:overflowPunct/>
        <w:topLinePunct w:val="0"/>
        <w:autoSpaceDE/>
        <w:autoSpaceDN/>
        <w:bidi w:val="0"/>
        <w:adjustRightInd w:val="0"/>
        <w:snapToGrid w:val="0"/>
        <w:spacing w:line="579" w:lineRule="exact"/>
        <w:ind w:left="0" w:leftChars="0"/>
        <w:jc w:val="right"/>
        <w:textAlignment w:val="auto"/>
        <w:rPr>
          <w:rFonts w:hint="eastAsia" w:ascii="Times New Roman" w:hAnsi="Times New Roman" w:eastAsia="仿宋_GB2312" w:cs="Times New Roman"/>
          <w:color w:val="000000"/>
          <w:sz w:val="32"/>
          <w:szCs w:val="32"/>
        </w:rPr>
      </w:pPr>
    </w:p>
    <w:p w14:paraId="77542F7E">
      <w:pPr>
        <w:keepNext w:val="0"/>
        <w:keepLines w:val="0"/>
        <w:pageBreakBefore w:val="0"/>
        <w:widowControl w:val="0"/>
        <w:kinsoku/>
        <w:wordWrap/>
        <w:overflowPunct/>
        <w:topLinePunct w:val="0"/>
        <w:autoSpaceDE/>
        <w:autoSpaceDN/>
        <w:bidi w:val="0"/>
        <w:adjustRightInd w:val="0"/>
        <w:snapToGrid w:val="0"/>
        <w:spacing w:line="579" w:lineRule="exact"/>
        <w:ind w:left="0" w:leftChars="0"/>
        <w:jc w:val="righ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济南新旧动能转换起步区管理委员会</w:t>
      </w:r>
    </w:p>
    <w:p w14:paraId="6FCEC96D">
      <w:pPr>
        <w:keepNext w:val="0"/>
        <w:keepLines w:val="0"/>
        <w:pageBreakBefore w:val="0"/>
        <w:widowControl w:val="0"/>
        <w:kinsoku/>
        <w:wordWrap w:val="0"/>
        <w:overflowPunct/>
        <w:topLinePunct w:val="0"/>
        <w:autoSpaceDE/>
        <w:autoSpaceDN/>
        <w:bidi w:val="0"/>
        <w:adjustRightInd w:val="0"/>
        <w:snapToGrid w:val="0"/>
        <w:spacing w:line="579" w:lineRule="exact"/>
        <w:ind w:left="0" w:leftChars="0"/>
        <w:jc w:val="right"/>
        <w:textAlignment w:val="auto"/>
        <w:rPr>
          <w:rFonts w:hint="default" w:ascii="Times New Roman" w:hAnsi="Times New Roman" w:eastAsia="仿宋_GB2312" w:cs="Times New Roman"/>
          <w:color w:val="000000"/>
          <w:sz w:val="32"/>
          <w:szCs w:val="32"/>
          <w:lang w:val="en-US" w:eastAsia="zh-CN"/>
        </w:rPr>
      </w:pPr>
      <w:r>
        <w:rPr>
          <w:rFonts w:hint="eastAsia" w:ascii="仿宋_GB2312" w:hAnsi="仿宋_GB2312" w:eastAsia="仿宋_GB2312" w:cs="仿宋_GB2312"/>
          <w:color w:val="000000"/>
          <w:sz w:val="32"/>
          <w:szCs w:val="32"/>
          <w:lang w:val="en-US" w:eastAsia="zh-CN"/>
        </w:rPr>
        <w:t>2025</w:t>
      </w:r>
      <w:r>
        <w:rPr>
          <w:rFonts w:hint="eastAsia" w:ascii="仿宋_GB2312" w:hAnsi="仿宋_GB2312" w:eastAsia="仿宋_GB2312" w:cs="仿宋_GB2312"/>
          <w:color w:val="000000"/>
          <w:sz w:val="32"/>
          <w:szCs w:val="32"/>
        </w:rPr>
        <w:t>年1月</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日</w:t>
      </w:r>
      <w:r>
        <w:rPr>
          <w:rFonts w:hint="eastAsia" w:ascii="Times New Roman" w:hAnsi="Times New Roman" w:eastAsia="仿宋_GB2312" w:cs="Times New Roman"/>
          <w:color w:val="000000"/>
          <w:sz w:val="32"/>
          <w:szCs w:val="32"/>
          <w:lang w:val="en-US" w:eastAsia="zh-CN"/>
        </w:rPr>
        <w:t xml:space="preserve">        </w:t>
      </w:r>
    </w:p>
    <w:p w14:paraId="75D3C342">
      <w:pPr>
        <w:keepNext w:val="0"/>
        <w:keepLines w:val="0"/>
        <w:pageBreakBefore w:val="0"/>
        <w:widowControl w:val="0"/>
        <w:kinsoku/>
        <w:wordWrap/>
        <w:overflowPunct/>
        <w:topLinePunct w:val="0"/>
        <w:autoSpaceDE/>
        <w:autoSpaceDN/>
        <w:bidi w:val="0"/>
        <w:adjustRightInd/>
        <w:snapToGrid/>
        <w:spacing w:line="579" w:lineRule="exact"/>
        <w:ind w:firstLine="664" w:firstLineChars="200"/>
        <w:textAlignment w:val="auto"/>
        <w:rPr>
          <w:rFonts w:hint="eastAsia" w:ascii="仿宋_GB2312" w:hAnsi="仿宋_GB2312" w:eastAsia="仿宋_GB2312" w:cs="仿宋_GB2312"/>
          <w:spacing w:val="6"/>
          <w:sz w:val="32"/>
          <w:lang w:val="en-US" w:eastAsia="zh-CN"/>
        </w:rPr>
      </w:pPr>
    </w:p>
    <w:p w14:paraId="4B4D7ACA">
      <w:pPr>
        <w:keepNext w:val="0"/>
        <w:keepLines w:val="0"/>
        <w:pageBreakBefore w:val="0"/>
        <w:widowControl w:val="0"/>
        <w:kinsoku/>
        <w:wordWrap/>
        <w:overflowPunct/>
        <w:topLinePunct w:val="0"/>
        <w:autoSpaceDE/>
        <w:autoSpaceDN/>
        <w:bidi w:val="0"/>
        <w:adjustRightInd/>
        <w:snapToGrid/>
        <w:spacing w:line="579" w:lineRule="exact"/>
        <w:ind w:firstLine="664" w:firstLineChars="200"/>
        <w:textAlignment w:val="auto"/>
        <w:rPr>
          <w:rFonts w:hint="eastAsia" w:ascii="仿宋_GB2312" w:hAnsi="仿宋_GB2312" w:eastAsia="仿宋_GB2312" w:cs="仿宋_GB2312"/>
          <w:spacing w:val="6"/>
          <w:sz w:val="32"/>
          <w:lang w:val="en-US" w:eastAsia="zh-CN"/>
        </w:rPr>
        <w:sectPr>
          <w:footerReference r:id="rId3" w:type="default"/>
          <w:pgSz w:w="11906" w:h="16838"/>
          <w:pgMar w:top="2098" w:right="1474" w:bottom="1984" w:left="1587" w:header="851" w:footer="992" w:gutter="0"/>
          <w:pgNumType w:fmt="decimal" w:start="1"/>
          <w:cols w:space="425" w:num="1"/>
          <w:docGrid w:type="lines" w:linePitch="312" w:charSpace="0"/>
        </w:sectPr>
      </w:pPr>
      <w:r>
        <w:rPr>
          <w:rFonts w:hint="eastAsia" w:ascii="仿宋_GB2312" w:hAnsi="仿宋_GB2312" w:eastAsia="仿宋_GB2312" w:cs="仿宋_GB2312"/>
          <w:spacing w:val="6"/>
          <w:sz w:val="32"/>
          <w:lang w:val="en-US" w:eastAsia="zh-CN"/>
        </w:rPr>
        <w:t>（此件公开发布）</w:t>
      </w:r>
    </w:p>
    <w:p w14:paraId="17E70F75">
      <w:pPr>
        <w:pStyle w:val="2"/>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14:paraId="391013DF">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14:paraId="1C352AB7">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济南新旧动能转换起步区行政执法主体名单</w:t>
      </w:r>
    </w:p>
    <w:p w14:paraId="1E1270B2">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（24个）</w:t>
      </w:r>
    </w:p>
    <w:p w14:paraId="0C9E22E8">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仿宋_GB2312" w:hAnsi="黑体" w:eastAsia="仿宋_GB2312"/>
          <w:sz w:val="32"/>
          <w:szCs w:val="32"/>
          <w:lang w:val="en-US" w:eastAsia="zh-CN"/>
        </w:rPr>
      </w:pPr>
    </w:p>
    <w:p w14:paraId="49994D8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w:t>
      </w:r>
    </w:p>
    <w:p w14:paraId="4712463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济南新旧动能转换起步区管理委员会办公室（审计局）</w:t>
      </w:r>
    </w:p>
    <w:p w14:paraId="6D287DBC">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济南新旧动能转换起步区管理委员会党群工作部</w:t>
      </w:r>
    </w:p>
    <w:p w14:paraId="3ABF7AB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济南新旧动能转换起步区管理委员会宣传文化部</w:t>
      </w:r>
    </w:p>
    <w:p w14:paraId="38E1900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16" w:firstLineChars="200"/>
        <w:textAlignment w:val="auto"/>
        <w:rPr>
          <w:rFonts w:hint="default" w:ascii="仿宋_GB2312" w:hAnsi="黑体" w:eastAsia="仿宋_GB2312"/>
          <w:sz w:val="32"/>
          <w:szCs w:val="32"/>
          <w:lang w:val="en-US" w:eastAsia="zh-CN"/>
        </w:rPr>
      </w:pPr>
      <w:r>
        <w:rPr>
          <w:rFonts w:hint="eastAsia" w:ascii="仿宋_GB2312" w:hAnsi="黑体" w:eastAsia="仿宋_GB2312"/>
          <w:spacing w:val="-6"/>
          <w:sz w:val="32"/>
          <w:szCs w:val="32"/>
          <w:lang w:val="en-US" w:eastAsia="zh-CN"/>
        </w:rPr>
        <w:t>济南新旧动能转换起步区管理委员会社会治理部（应急管理局）</w:t>
      </w:r>
    </w:p>
    <w:p w14:paraId="046741C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济南新旧动能转换起步区管理委员会经济发展部</w:t>
      </w:r>
    </w:p>
    <w:p w14:paraId="5EF264FB">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济南新旧动能转换起步区管理委员会产业促进部</w:t>
      </w:r>
    </w:p>
    <w:p w14:paraId="0B10022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济南新旧动能转换起步区管理委员会财政金融部</w:t>
      </w:r>
    </w:p>
    <w:p w14:paraId="1B09B79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w w:val="98"/>
          <w:sz w:val="32"/>
          <w:szCs w:val="32"/>
          <w:lang w:val="en-US" w:eastAsia="zh-CN"/>
        </w:rPr>
      </w:pPr>
      <w:r>
        <w:rPr>
          <w:rFonts w:hint="eastAsia" w:ascii="仿宋_GB2312" w:hAnsi="黑体" w:eastAsia="仿宋_GB2312"/>
          <w:sz w:val="32"/>
          <w:szCs w:val="32"/>
          <w:lang w:val="en-US" w:eastAsia="zh-CN"/>
        </w:rPr>
        <w:t>济南新旧动能转换起步区管理委员会</w:t>
      </w:r>
      <w:r>
        <w:rPr>
          <w:rFonts w:hint="eastAsia" w:ascii="仿宋_GB2312" w:hAnsi="黑体" w:eastAsia="仿宋_GB2312"/>
          <w:w w:val="98"/>
          <w:sz w:val="32"/>
          <w:szCs w:val="32"/>
          <w:lang w:val="en-US" w:eastAsia="zh-CN"/>
        </w:rPr>
        <w:t>规划和自然资源部</w:t>
      </w:r>
    </w:p>
    <w:p w14:paraId="6F6D721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济南新旧动能转换起步区管理委员会建设管理部</w:t>
      </w:r>
    </w:p>
    <w:p w14:paraId="4258268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济南新旧动能转换起步区管理委员会社会事业部</w:t>
      </w:r>
    </w:p>
    <w:p w14:paraId="013A4F9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济南新旧动能转换起步区管理委员会综合执法部（市场监督管理局）</w:t>
      </w:r>
    </w:p>
    <w:p w14:paraId="6613600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济南新旧动能转换起步区管理委员会数字城市部（行政审批服务局）</w:t>
      </w:r>
    </w:p>
    <w:p w14:paraId="2E36634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济南新旧动能转换起步区管理委员会大桥街道办事处</w:t>
      </w:r>
    </w:p>
    <w:p w14:paraId="286EEA3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济南新旧动能转换起步区管理委员会崔寨街道办事处</w:t>
      </w:r>
    </w:p>
    <w:p w14:paraId="3D99EEF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济南新旧动能转换起步区管理委员会太平街道办事处</w:t>
      </w:r>
    </w:p>
    <w:p w14:paraId="0F61828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w w:val="98"/>
          <w:sz w:val="32"/>
          <w:szCs w:val="32"/>
          <w:lang w:val="en-US" w:eastAsia="zh-CN"/>
        </w:rPr>
      </w:pPr>
      <w:r>
        <w:rPr>
          <w:rFonts w:hint="eastAsia" w:ascii="Arial" w:hAnsi="Arial" w:eastAsia="仿宋_GB2312" w:cs="Arial"/>
          <w:color w:val="auto"/>
          <w:sz w:val="32"/>
          <w:szCs w:val="32"/>
          <w:lang w:val="en-US" w:eastAsia="zh-CN"/>
        </w:rPr>
        <w:t>济南新旧动能转换起步区管理委员会孙耿街道办事处</w:t>
      </w:r>
    </w:p>
    <w:p w14:paraId="438235B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国家税务总局济南新旧动能转换起步区税务局</w:t>
      </w:r>
    </w:p>
    <w:p w14:paraId="71165B9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济南市公安局新旧动能转换起步区分局</w:t>
      </w:r>
    </w:p>
    <w:p w14:paraId="6F57E51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济南市公安局交通警察支队新旧动能转换起步区大队</w:t>
      </w:r>
    </w:p>
    <w:p w14:paraId="56921CF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济南市公安局新旧动能转换起步区分局大桥派出所</w:t>
      </w:r>
    </w:p>
    <w:p w14:paraId="045C25A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济南市公安局新旧动能转换起步区分局崔寨派出所</w:t>
      </w:r>
    </w:p>
    <w:p w14:paraId="03B696D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Arial" w:hAnsi="Arial" w:eastAsia="仿宋_GB2312" w:cs="Arial"/>
          <w:color w:val="auto"/>
          <w:sz w:val="32"/>
          <w:szCs w:val="32"/>
          <w:lang w:val="en-US" w:eastAsia="zh-CN"/>
        </w:rPr>
      </w:pPr>
      <w:r>
        <w:rPr>
          <w:rFonts w:hint="eastAsia" w:ascii="Arial" w:hAnsi="Arial" w:eastAsia="仿宋_GB2312" w:cs="Arial"/>
          <w:color w:val="auto"/>
          <w:sz w:val="32"/>
          <w:szCs w:val="32"/>
          <w:lang w:val="en-US" w:eastAsia="zh-CN"/>
        </w:rPr>
        <w:t>济南市公安局新旧动能转换起步区分局孙耿派出所</w:t>
      </w:r>
    </w:p>
    <w:p w14:paraId="105CBDA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Arial" w:hAnsi="Arial" w:eastAsia="仿宋_GB2312" w:cs="Arial"/>
          <w:color w:val="auto"/>
          <w:w w:val="98"/>
          <w:sz w:val="32"/>
          <w:szCs w:val="32"/>
          <w:lang w:val="en-US" w:eastAsia="zh-CN"/>
        </w:rPr>
      </w:pPr>
      <w:r>
        <w:rPr>
          <w:rFonts w:hint="eastAsia" w:ascii="Arial" w:hAnsi="Arial" w:eastAsia="仿宋_GB2312" w:cs="Arial"/>
          <w:color w:val="auto"/>
          <w:sz w:val="32"/>
          <w:szCs w:val="32"/>
          <w:lang w:val="en-US" w:eastAsia="zh-CN"/>
        </w:rPr>
        <w:t>济南市公安局新旧动能转换起步区分局太平派出所</w:t>
      </w:r>
    </w:p>
    <w:p w14:paraId="7073D893">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1212" w:leftChars="120" w:hanging="960" w:hangingChars="300"/>
        <w:textAlignment w:val="auto"/>
        <w:rPr>
          <w:rFonts w:hint="eastAsia"/>
          <w:sz w:val="32"/>
          <w:szCs w:val="32"/>
          <w:lang w:val="en-US" w:eastAsia="zh-CN"/>
        </w:rPr>
      </w:pPr>
      <w:bookmarkStart w:id="0" w:name="_GoBack"/>
      <w:bookmarkEnd w:id="0"/>
    </w:p>
    <w:sectPr>
      <w:footerReference r:id="rId4" w:type="default"/>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D429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B8FF0">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CB8FF0">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A1F64">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FFCE85">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5FFCE85">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792095"/>
    <w:rsid w:val="037D77F1"/>
    <w:rsid w:val="041B2441"/>
    <w:rsid w:val="04D802BC"/>
    <w:rsid w:val="0B736D5E"/>
    <w:rsid w:val="0D40009C"/>
    <w:rsid w:val="0EBE1B2A"/>
    <w:rsid w:val="11984340"/>
    <w:rsid w:val="15271CA0"/>
    <w:rsid w:val="16916FBF"/>
    <w:rsid w:val="181A4A3C"/>
    <w:rsid w:val="1AAC72D9"/>
    <w:rsid w:val="1F710E32"/>
    <w:rsid w:val="272462F2"/>
    <w:rsid w:val="2B047305"/>
    <w:rsid w:val="2C675170"/>
    <w:rsid w:val="2D087222"/>
    <w:rsid w:val="31C81329"/>
    <w:rsid w:val="347A2CEE"/>
    <w:rsid w:val="3F302C55"/>
    <w:rsid w:val="42C86F85"/>
    <w:rsid w:val="43C83303"/>
    <w:rsid w:val="46876387"/>
    <w:rsid w:val="46FF153C"/>
    <w:rsid w:val="47B5009C"/>
    <w:rsid w:val="4883687E"/>
    <w:rsid w:val="4CBD11A3"/>
    <w:rsid w:val="4F5B20FC"/>
    <w:rsid w:val="50491953"/>
    <w:rsid w:val="50903612"/>
    <w:rsid w:val="515C63EF"/>
    <w:rsid w:val="565E018E"/>
    <w:rsid w:val="56B22D46"/>
    <w:rsid w:val="588C3D6A"/>
    <w:rsid w:val="5C0E7968"/>
    <w:rsid w:val="5D3D64C3"/>
    <w:rsid w:val="603A27F7"/>
    <w:rsid w:val="61D32D57"/>
    <w:rsid w:val="644D4B19"/>
    <w:rsid w:val="67323F9D"/>
    <w:rsid w:val="6A885FCB"/>
    <w:rsid w:val="6D562076"/>
    <w:rsid w:val="6E773235"/>
    <w:rsid w:val="6ED84B71"/>
    <w:rsid w:val="6F6053C9"/>
    <w:rsid w:val="6FDD60A6"/>
    <w:rsid w:val="701D411B"/>
    <w:rsid w:val="742D4703"/>
    <w:rsid w:val="79FB5918"/>
    <w:rsid w:val="7A434032"/>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3">
    <w:name w:val="Plain Text"/>
    <w:basedOn w:val="1"/>
    <w:qFormat/>
    <w:uiPriority w:val="0"/>
    <w:rPr>
      <w:rFonts w:ascii="宋体" w:hAnsi="Courier New"/>
    </w:rPr>
  </w:style>
  <w:style w:type="paragraph" w:styleId="4">
    <w:name w:val="footer"/>
    <w:basedOn w:val="1"/>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Body Text First Indent 2"/>
    <w:next w:val="1"/>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character" w:styleId="10">
    <w:name w:val="page number"/>
    <w:basedOn w:val="9"/>
    <w:autoRedefine/>
    <w:qFormat/>
    <w:uiPriority w:val="0"/>
  </w:style>
  <w:style w:type="character" w:styleId="11">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598</Words>
  <Characters>616</Characters>
  <Lines>0</Lines>
  <Paragraphs>0</Paragraphs>
  <TotalTime>9</TotalTime>
  <ScaleCrop>false</ScaleCrop>
  <LinksUpToDate>false</LinksUpToDate>
  <CharactersWithSpaces>625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2023-06-21T08:09:00Z</cp:lastPrinted>
  <dcterms:modified xsi:type="dcterms:W3CDTF">2025-01-14T01:54:01Z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E27914C43D234C5F8AD8C3A85B42CE74_13</vt:lpwstr>
  </property>
  <property fmtid="{D5CDD505-2E9C-101B-9397-08002B2CF9AE}" pid="4" name="KSOTemplateDocerSaveRecord">
    <vt:lpwstr>eyJoZGlkIjoiZjMzMDRmYmUyOTMxYTYxYTRiZmI0OGFlOTY0MmM4NmYiLCJ1c2VySWQiOiI1NjU5NTY4NTMifQ==</vt:lpwstr>
  </property>
</Properties>
</file>