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99" w:beforeLines="100" w:line="500" w:lineRule="exact"/>
        <w:jc w:val="center"/>
        <w:textAlignment w:val="auto"/>
        <w:rPr>
          <w:rFonts w:ascii="方正小标宋简体" w:hAnsi="黑体" w:eastAsia="方正小标宋简体" w:cs="方正小标宋简体"/>
          <w:spacing w:val="-40"/>
          <w:w w:val="45"/>
          <w:sz w:val="96"/>
          <w:szCs w:val="96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济起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管数字字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〔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〕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号</w:t>
      </w: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济南起步区管委会数字城市部、工信科技部、财政金融部、建设管理部、综合执法部关于印发《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济南新旧动能转换起步区支持智能网联产业发展的若干政策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》的通知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各街道办事处，各职能部门、直属单位，驻区各单位：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济南新旧动能转换起步区支持智能网联产业发展的若干政策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》已经管委会研究同意，现印发给你们，请认真贯彻执行。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济南起步区管委会数字城市部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济南起步区管委会工信科技部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济南起步区管委会财政金融部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济南起步区管委会建设管理部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济南起步区管委会综合执法部</w:t>
      </w:r>
    </w:p>
    <w:p>
      <w:pPr>
        <w:ind w:firstLine="5376" w:firstLineChars="168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ind w:firstLine="5376" w:firstLineChars="168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AndChars" w:linePitch="597" w:charSpace="-22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联系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：济南起步区管委会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数字城市部综合室，66604580）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济南新旧动能转换起步区支持智能网联产业发展的若干政策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为加快济南“车路云一体化”试点建设，推进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济南新旧动能转换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起步区智能网联汽车产业有序健康发展，形成技术引领和应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用示范创新发展格局，打造智能网联产业创新发展高地，结合起步区实际，制定本政策。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支持车联网新型基础设施建设。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鼓励企业加快公开测试道路的V2X路侧单元、多功能智能杆、路侧感知设备和边缘计算系统（MEC）、交通信号机和交通标志标识联网改造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配套场站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等设施建设，构建车路协同交通环境。对完成“车路云一体化”新型基础设施建设并纳入起步区智能网联汽车公开测试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运营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对建设单位按核定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建设费用的10%给予一次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性奖励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，单个项目最高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1000万元。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</w:rPr>
        <w:t>.提升车载终端装配率。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支持企业开展智能网联改装相关产品及服务，对区域内的私家车、公交车、公务车、特种车辆等进行智能网联改装，经评审认定达到相应标准并纳入起步区监管平台的车辆，按照1000元/车的标准，给予改装企业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奖励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，单个企业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奖励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金额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每年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最高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不超过20万元。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</w:rPr>
        <w:t>.推动产业关键技术攻关。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V2X通信技术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机器视觉、毫米波雷达、激光雷达、自动驾驶仿真测试技术等环境感知技术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新一代交通信号控制系统技术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大模型技术、算法设计、处理芯片、操作系统等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智能驾驶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取得新突破，并纳入国家科技重大专项、国家重点研发计划项目，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核定研发投入费用的3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0%予以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，最高不超过500万元。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4.加强协同创新平台建设。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持企业、高校和研究机构开展产学研用合作，降低共性技术研发成本，鼓励龙头企业牵头组建制造业创新中心、创新联合体等重大创新平台。对经认定的国家级、省级智能网联汽车产业制造业创新中心，分别给予500万元和100万元一次性奖励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5.搭建城市级智能网联云控协同体系。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支持企业和机构提供产业公共服务，自主建设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中心云、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边缘云、区域云等云控基础平台，向车辆提供融合感知、协同决策规划与控制的能力，经评审认定合格，按照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核定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建设费用的30%给予补贴，最高不超过500万元。支持无人驾驶运营企业，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在区域内搭建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无人物流、无人公交等场景运营车辆云控平台，经评审认定合格，按照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万元予以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6.支持智能网联汽车示范应用。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鼓励企业在开放场景及封闭园区开展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示范应用运营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，对于智能公交、智能清扫等车辆在起步区范围内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按核定的自动驾驶有效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行驶里程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给予应用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运营主体5元/公里的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支持，对于智能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乘用车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、智能重卡、短途接驳等车辆在起步区范围内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按核定的自动驾驶有效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行驶里程给予运营主体3元/公里的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支持，每个企业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金额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每年最高200万元。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7.支持完善标准及测试评价体系。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鼓励企业和机构积极开展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智能网联领域的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技术、测试和检测等标准制订修订，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对发布国际标准、国家标准及行业标准的制订企业，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每个标准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最高给予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100万元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50万元、20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万元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支持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，每个企业每年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奖励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金额最高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00万元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8.强化金融服务支撑。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鼓励保险企业开发覆盖智能网联汽车产品全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链条风险的保险产品，优化智能网联汽车商业保险保障服务，对开展测试运营的企业，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每车给予200元一次性奖励，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每个企业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每年奖励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金额最高20万元。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/>
        </w:rPr>
        <w:t>9.其他。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本政策中所有项目均采取先申报、后补助的方式。企业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、机构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单个项目已获得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起步</w:t>
      </w: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  <w:t>区其他产业政策支持的,按照“就高不重复、单项不重复”原则执行。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Style w:val="6"/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本政策自2025年12月1日起实施，有效期一年。</w:t>
      </w:r>
    </w:p>
    <w:p>
      <w:pPr>
        <w:widowControl/>
        <w:spacing w:line="579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3iCNe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4FE1"/>
    <w:rsid w:val="0C9475FE"/>
    <w:rsid w:val="2197576F"/>
    <w:rsid w:val="3B3D0CDD"/>
    <w:rsid w:val="3CB31006"/>
    <w:rsid w:val="3E24344E"/>
    <w:rsid w:val="48F260C7"/>
    <w:rsid w:val="50FA38DB"/>
    <w:rsid w:val="5F16721C"/>
    <w:rsid w:val="6BA22313"/>
    <w:rsid w:val="6BC91F4C"/>
    <w:rsid w:val="7B59C75B"/>
    <w:rsid w:val="8E7F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1683</Words>
  <Characters>1754</Characters>
  <Paragraphs>20</Paragraphs>
  <TotalTime>1</TotalTime>
  <ScaleCrop>false</ScaleCrop>
  <LinksUpToDate>false</LinksUpToDate>
  <CharactersWithSpaces>1820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2025-11-22T01:12:00Z</dcterms:created>
  <dc:creator>Administrator</dc:creator>
  <cp:lastModifiedBy>jnak</cp:lastModifiedBy>
  <cp:lastPrinted>2025-11-25T09:56:00Z</cp:lastPrinted>
  <dcterms:modified xsi:type="dcterms:W3CDTF">2025-12-08T15:17:58Z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eyJoZGlkIjoiMjI2NGIxMzE3MjQ4ZTFiMjViZWMxYjBjNDEyNTA0YWUiLCJ1c2VySWQiOiIyNDA2NDM3MzAifQ==</vt:lpwstr>
  </property>
  <property fmtid="{D5CDD505-2E9C-101B-9397-08002B2CF9AE}" pid="4" name="ICV">
    <vt:lpwstr>25708DF29797476ABC690548A803FA0F_12</vt:lpwstr>
  </property>
</Properties>
</file>