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黑体" w:hAnsi="黑体" w:eastAsia="黑体" w:cs="黑体"/>
          <w:sz w:val="32"/>
          <w:szCs w:val="32"/>
          <w:lang w:val="en-US" w:eastAsia="zh-CN"/>
        </w:rPr>
      </w:pPr>
      <w:r>
        <w:rPr>
          <w:rFonts w:hint="default" w:ascii="黑体" w:hAnsi="黑体" w:eastAsia="黑体" w:cs="黑体"/>
          <w:sz w:val="32"/>
          <w:szCs w:val="32"/>
          <w:lang w:val="en-US" w:eastAsia="zh-CN"/>
        </w:rPr>
        <w:t>JNCR-2023-051000</w:t>
      </w:r>
      <w:r>
        <w:rPr>
          <w:rFonts w:hint="eastAsia" w:ascii="黑体" w:hAnsi="黑体" w:eastAsia="黑体" w:cs="黑体"/>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宋体" w:eastAsia="仿宋_GB2312"/>
          <w:color w:val="000000"/>
          <w:sz w:val="32"/>
          <w:szCs w:val="32"/>
        </w:rPr>
      </w:pPr>
    </w:p>
    <w:p>
      <w:pPr>
        <w:pStyle w:val="2"/>
        <w:rPr>
          <w:rFonts w:hint="eastAsia" w:ascii="仿宋_GB2312" w:hAnsi="宋体" w:eastAsia="仿宋_GB2312"/>
          <w:color w:val="000000"/>
          <w:sz w:val="32"/>
          <w:szCs w:val="32"/>
        </w:rPr>
      </w:pPr>
    </w:p>
    <w:p>
      <w:pPr>
        <w:rPr>
          <w:rFonts w:hint="eastAsia" w:ascii="仿宋_GB2312" w:hAnsi="宋体" w:eastAsia="仿宋_GB2312"/>
          <w:color w:val="000000"/>
          <w:sz w:val="32"/>
          <w:szCs w:val="32"/>
        </w:rPr>
      </w:pPr>
    </w:p>
    <w:p>
      <w:pPr>
        <w:pStyle w:val="2"/>
        <w:rPr>
          <w:rFonts w:hint="eastAsia" w:ascii="仿宋_GB2312" w:hAnsi="宋体" w:eastAsia="仿宋_GB2312"/>
          <w:color w:val="000000"/>
          <w:sz w:val="32"/>
          <w:szCs w:val="32"/>
        </w:rPr>
      </w:pPr>
    </w:p>
    <w:p>
      <w:pPr>
        <w:rPr>
          <w:rFonts w:hint="eastAsia"/>
        </w:rPr>
      </w:pPr>
    </w:p>
    <w:p>
      <w:pPr>
        <w:keepNext w:val="0"/>
        <w:keepLines w:val="0"/>
        <w:pageBreakBefore w:val="0"/>
        <w:widowControl w:val="0"/>
        <w:kinsoku/>
        <w:wordWrap w:val="0"/>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sz w:val="32"/>
          <w:szCs w:val="32"/>
        </w:rPr>
        <w:t>济</w:t>
      </w:r>
      <w:r>
        <w:rPr>
          <w:rFonts w:hint="eastAsia" w:ascii="仿宋_GB2312" w:hAnsi="仿宋_GB2312" w:eastAsia="仿宋_GB2312" w:cs="仿宋_GB2312"/>
          <w:color w:val="000000"/>
          <w:sz w:val="32"/>
          <w:szCs w:val="32"/>
          <w:lang w:val="en-US" w:eastAsia="zh-CN"/>
        </w:rPr>
        <w:t>起管发</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2023</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18</w:t>
      </w:r>
      <w:r>
        <w:rPr>
          <w:rFonts w:hint="eastAsia" w:ascii="仿宋_GB2312" w:hAnsi="仿宋_GB2312" w:eastAsia="仿宋_GB2312" w:cs="仿宋_GB2312"/>
          <w:color w:val="000000"/>
          <w:sz w:val="32"/>
          <w:szCs w:val="32"/>
        </w:rPr>
        <w:t>号</w:t>
      </w:r>
    </w:p>
    <w:p>
      <w:pPr>
        <w:keepNext w:val="0"/>
        <w:keepLines w:val="0"/>
        <w:pageBreakBefore w:val="0"/>
        <w:widowControl w:val="0"/>
        <w:kinsoku/>
        <w:wordWrap/>
        <w:overflowPunct/>
        <w:topLinePunct w:val="0"/>
        <w:autoSpaceDE/>
        <w:autoSpaceDN/>
        <w:bidi w:val="0"/>
        <w:adjustRightInd/>
        <w:snapToGrid/>
        <w:spacing w:line="227" w:lineRule="exact"/>
        <w:textAlignment w:val="auto"/>
        <w:rPr>
          <w:rFonts w:ascii="宋体" w:hAnsi="宋体" w:eastAsia="仿宋_GB2312"/>
          <w:color w:val="000000"/>
          <w:sz w:val="11"/>
          <w:szCs w:val="11"/>
        </w:rPr>
      </w:pPr>
    </w:p>
    <w:p>
      <w:pPr>
        <w:keepNext w:val="0"/>
        <w:keepLines w:val="0"/>
        <w:pageBreakBefore w:val="0"/>
        <w:widowControl/>
        <w:kinsoku/>
        <w:overflowPunct/>
        <w:topLinePunct w:val="0"/>
        <w:autoSpaceDE/>
        <w:autoSpaceDN/>
        <w:bidi w:val="0"/>
        <w:adjustRightInd/>
        <w:snapToGrid/>
        <w:spacing w:before="0" w:beforeAutospacing="0" w:after="0" w:afterAutospacing="0" w:line="579" w:lineRule="exact"/>
        <w:jc w:val="center"/>
        <w:textAlignment w:val="auto"/>
        <w:rPr>
          <w:rFonts w:hint="eastAsia" w:ascii="方正小标宋简体" w:hAnsi="方正小标宋简体" w:eastAsia="方正小标宋简体" w:cs="方正小标宋简体"/>
          <w:color w:val="000000"/>
          <w:spacing w:val="6"/>
          <w:kern w:val="0"/>
          <w:sz w:val="44"/>
          <w:szCs w:val="44"/>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方正小标宋简体" w:hAnsi="方正小标宋简体" w:eastAsia="方正小标宋简体" w:cs="方正小标宋简体"/>
          <w:color w:val="000000"/>
          <w:spacing w:val="6"/>
          <w:kern w:val="0"/>
          <w:sz w:val="44"/>
          <w:szCs w:val="44"/>
          <w:shd w:val="clear" w:color="auto" w:fill="FFFFFF"/>
          <w:lang w:val="en-US" w:eastAsia="zh-CN" w:bidi="ar-SA"/>
        </w:rPr>
      </w:pPr>
    </w:p>
    <w:p>
      <w:pPr>
        <w:keepNext w:val="0"/>
        <w:keepLines w:val="0"/>
        <w:pageBreakBefore w:val="0"/>
        <w:widowControl w:val="0"/>
        <w:kinsoku/>
        <w:overflowPunct/>
        <w:topLinePunct w:val="0"/>
        <w:autoSpaceDE/>
        <w:autoSpaceDN/>
        <w:bidi w:val="0"/>
        <w:adjustRightInd/>
        <w:snapToGrid/>
        <w:spacing w:before="0" w:beforeAutospacing="0" w:after="0" w:afterAutospacing="0" w:line="600" w:lineRule="exact"/>
        <w:jc w:val="center"/>
        <w:textAlignment w:val="auto"/>
        <w:rPr>
          <w:rFonts w:hint="eastAsia" w:ascii="方正小标宋简体" w:hAnsi="方正小标宋简体" w:eastAsia="方正小标宋简体" w:cs="方正小标宋简体"/>
          <w:color w:val="000000"/>
          <w:spacing w:val="6"/>
          <w:kern w:val="0"/>
          <w:sz w:val="44"/>
          <w:szCs w:val="44"/>
          <w:shd w:val="clear" w:color="auto" w:fill="FFFFFF"/>
          <w:lang w:val="en-US" w:eastAsia="zh-CN" w:bidi="ar-SA"/>
        </w:rPr>
      </w:pPr>
      <w:r>
        <w:rPr>
          <w:rFonts w:hint="eastAsia" w:ascii="方正小标宋简体" w:hAnsi="方正小标宋简体" w:eastAsia="方正小标宋简体" w:cs="方正小标宋简体"/>
          <w:color w:val="000000"/>
          <w:spacing w:val="6"/>
          <w:kern w:val="0"/>
          <w:sz w:val="44"/>
          <w:szCs w:val="44"/>
          <w:shd w:val="clear" w:color="auto" w:fill="FFFFFF"/>
          <w:lang w:val="en-US" w:eastAsia="zh-CN" w:bidi="ar-SA"/>
        </w:rPr>
        <w:t>济南新旧动能转换起步区管理委员会</w:t>
      </w:r>
    </w:p>
    <w:p>
      <w:pPr>
        <w:keepNext w:val="0"/>
        <w:keepLines w:val="0"/>
        <w:pageBreakBefore w:val="0"/>
        <w:widowControl w:val="0"/>
        <w:kinsoku/>
        <w:overflowPunct/>
        <w:topLinePunct w:val="0"/>
        <w:autoSpaceDE/>
        <w:autoSpaceDN/>
        <w:bidi w:val="0"/>
        <w:adjustRightInd/>
        <w:snapToGrid/>
        <w:spacing w:before="0" w:beforeAutospacing="0" w:after="0" w:afterAutospacing="0" w:line="600" w:lineRule="exact"/>
        <w:jc w:val="center"/>
        <w:textAlignment w:val="auto"/>
        <w:rPr>
          <w:rFonts w:hint="eastAsia" w:ascii="方正小标宋简体" w:hAnsi="方正小标宋简体" w:eastAsia="方正小标宋简体" w:cs="方正小标宋简体"/>
          <w:color w:val="000000"/>
          <w:spacing w:val="6"/>
          <w:kern w:val="0"/>
          <w:sz w:val="44"/>
          <w:szCs w:val="44"/>
          <w:shd w:val="clear" w:color="auto" w:fill="FFFFFF"/>
          <w:lang w:val="en-US" w:eastAsia="zh-CN" w:bidi="ar-SA"/>
        </w:rPr>
      </w:pPr>
      <w:r>
        <w:rPr>
          <w:rFonts w:hint="eastAsia" w:ascii="方正小标宋简体" w:hAnsi="方正小标宋简体" w:eastAsia="方正小标宋简体" w:cs="方正小标宋简体"/>
          <w:color w:val="000000"/>
          <w:spacing w:val="6"/>
          <w:kern w:val="0"/>
          <w:sz w:val="44"/>
          <w:szCs w:val="44"/>
          <w:shd w:val="clear" w:color="auto" w:fill="FFFFFF"/>
          <w:lang w:val="en-US" w:eastAsia="zh-CN" w:bidi="ar-SA"/>
        </w:rPr>
        <w:t>印发《济南新旧动能转换起步区关于支持金融产业加快发展的若干政策》的通知</w:t>
      </w:r>
    </w:p>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方正小标宋简体" w:hAnsi="方正小标宋简体" w:eastAsia="方正小标宋简体" w:cs="方正小标宋简体"/>
          <w:kern w:val="2"/>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color w:val="000000"/>
          <w:spacing w:val="6"/>
          <w:kern w:val="0"/>
          <w:sz w:val="32"/>
          <w:szCs w:val="32"/>
        </w:rPr>
      </w:pPr>
      <w:r>
        <w:rPr>
          <w:rFonts w:hint="eastAsia" w:ascii="楷体_GB2312" w:hAnsi="楷体_GB2312" w:eastAsia="楷体_GB2312" w:cs="楷体_GB2312"/>
          <w:color w:val="000000"/>
          <w:spacing w:val="0"/>
          <w:kern w:val="0"/>
          <w:sz w:val="32"/>
          <w:szCs w:val="32"/>
        </w:rPr>
        <w:t>各街道办事处，各职能部门、直属单位，</w:t>
      </w:r>
      <w:r>
        <w:rPr>
          <w:rFonts w:hint="eastAsia" w:ascii="楷体_GB2312" w:hAnsi="楷体_GB2312" w:eastAsia="楷体_GB2312" w:cs="楷体_GB2312"/>
          <w:color w:val="000000"/>
          <w:spacing w:val="0"/>
          <w:kern w:val="0"/>
          <w:sz w:val="32"/>
          <w:szCs w:val="32"/>
          <w:lang w:val="en-US" w:eastAsia="zh-CN"/>
        </w:rPr>
        <w:t>驻区各单位</w:t>
      </w:r>
      <w:r>
        <w:rPr>
          <w:rFonts w:hint="eastAsia" w:ascii="楷体_GB2312" w:hAnsi="楷体_GB2312" w:eastAsia="楷体_GB2312" w:cs="楷体_GB2312"/>
          <w:color w:val="000000"/>
          <w:spacing w:val="0"/>
          <w:kern w:val="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64" w:firstLineChars="200"/>
        <w:textAlignment w:val="auto"/>
        <w:rPr>
          <w:rFonts w:hint="eastAsia" w:ascii="楷体_GB2312" w:hAnsi="楷体_GB2312" w:eastAsia="楷体_GB2312" w:cs="楷体_GB2312"/>
          <w:color w:val="000000"/>
          <w:spacing w:val="6"/>
          <w:kern w:val="0"/>
          <w:sz w:val="32"/>
          <w:szCs w:val="32"/>
        </w:rPr>
      </w:pPr>
      <w:r>
        <w:rPr>
          <w:rFonts w:hint="eastAsia" w:ascii="楷体_GB2312" w:hAnsi="楷体_GB2312" w:eastAsia="楷体_GB2312" w:cs="楷体_GB2312"/>
          <w:color w:val="000000"/>
          <w:spacing w:val="6"/>
          <w:kern w:val="0"/>
          <w:sz w:val="32"/>
          <w:szCs w:val="32"/>
          <w:lang w:val="en-US" w:eastAsia="zh-CN"/>
        </w:rPr>
        <w:t>现将</w:t>
      </w:r>
      <w:r>
        <w:rPr>
          <w:rFonts w:hint="eastAsia" w:ascii="楷体_GB2312" w:hAnsi="楷体_GB2312" w:eastAsia="楷体_GB2312" w:cs="楷体_GB2312"/>
          <w:color w:val="000000"/>
          <w:spacing w:val="6"/>
          <w:kern w:val="0"/>
          <w:sz w:val="32"/>
          <w:szCs w:val="32"/>
        </w:rPr>
        <w:t>《济南新旧动能转换起步区关于支持金融产业加快发展的若干政策》印发给你们，请结合工作实际</w:t>
      </w:r>
      <w:r>
        <w:rPr>
          <w:rFonts w:hint="eastAsia" w:ascii="楷体_GB2312" w:hAnsi="楷体_GB2312" w:eastAsia="楷体_GB2312" w:cs="楷体_GB2312"/>
          <w:color w:val="000000"/>
          <w:spacing w:val="6"/>
          <w:kern w:val="0"/>
          <w:sz w:val="32"/>
          <w:szCs w:val="32"/>
          <w:lang w:val="en-US" w:eastAsia="zh-CN"/>
        </w:rPr>
        <w:t>认真抓好贯彻执行</w:t>
      </w:r>
      <w:r>
        <w:rPr>
          <w:rFonts w:hint="eastAsia" w:ascii="楷体_GB2312" w:hAnsi="楷体_GB2312" w:eastAsia="楷体_GB2312" w:cs="楷体_GB2312"/>
          <w:color w:val="000000"/>
          <w:spacing w:val="6"/>
          <w:kern w:val="0"/>
          <w:sz w:val="32"/>
          <w:szCs w:val="32"/>
        </w:rPr>
        <w:t>。</w:t>
      </w:r>
    </w:p>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方正小标宋简体" w:hAnsi="方正小标宋简体" w:eastAsia="方正小标宋简体" w:cs="方正小标宋简体"/>
          <w:kern w:val="2"/>
          <w:sz w:val="44"/>
          <w:szCs w:val="44"/>
          <w:lang w:val="en-US" w:eastAsia="zh-CN"/>
        </w:rPr>
      </w:pPr>
    </w:p>
    <w:p>
      <w:pPr>
        <w:keepNext w:val="0"/>
        <w:keepLines w:val="0"/>
        <w:pageBreakBefore w:val="0"/>
        <w:widowControl w:val="0"/>
        <w:kinsoku/>
        <w:wordWrap w:val="0"/>
        <w:overflowPunct/>
        <w:topLinePunct w:val="0"/>
        <w:autoSpaceDE/>
        <w:autoSpaceDN/>
        <w:bidi w:val="0"/>
        <w:adjustRightInd/>
        <w:snapToGrid/>
        <w:spacing w:line="560" w:lineRule="exact"/>
        <w:jc w:val="right"/>
        <w:textAlignment w:val="auto"/>
        <w:rPr>
          <w:rFonts w:hint="eastAsia" w:ascii="楷体_GB2312" w:hAnsi="楷体_GB2312" w:eastAsia="楷体_GB2312" w:cs="楷体_GB2312"/>
          <w:spacing w:val="6"/>
          <w:kern w:val="2"/>
          <w:sz w:val="32"/>
          <w:szCs w:val="32"/>
          <w:lang w:val="en-US" w:eastAsia="zh-CN"/>
        </w:rPr>
      </w:pPr>
      <w:r>
        <w:rPr>
          <w:rFonts w:hint="eastAsia" w:ascii="楷体_GB2312" w:hAnsi="楷体_GB2312" w:eastAsia="楷体_GB2312" w:cs="楷体_GB2312"/>
          <w:spacing w:val="6"/>
          <w:kern w:val="2"/>
          <w:sz w:val="32"/>
          <w:szCs w:val="32"/>
          <w:lang w:eastAsia="zh-CN"/>
        </w:rPr>
        <w:t>济南新旧动能转换</w:t>
      </w:r>
      <w:r>
        <w:rPr>
          <w:rFonts w:hint="eastAsia" w:ascii="楷体_GB2312" w:hAnsi="楷体_GB2312" w:eastAsia="楷体_GB2312" w:cs="楷体_GB2312"/>
          <w:spacing w:val="6"/>
          <w:kern w:val="2"/>
          <w:sz w:val="32"/>
          <w:szCs w:val="32"/>
          <w:lang w:val="en-US" w:eastAsia="zh-CN"/>
        </w:rPr>
        <w:t xml:space="preserve">起步区管理委员会  </w:t>
      </w:r>
    </w:p>
    <w:p>
      <w:pPr>
        <w:keepNext w:val="0"/>
        <w:keepLines w:val="0"/>
        <w:pageBreakBefore w:val="0"/>
        <w:widowControl w:val="0"/>
        <w:kinsoku/>
        <w:wordWrap w:val="0"/>
        <w:overflowPunct/>
        <w:topLinePunct w:val="0"/>
        <w:autoSpaceDE/>
        <w:autoSpaceDN/>
        <w:bidi w:val="0"/>
        <w:adjustRightInd/>
        <w:snapToGrid/>
        <w:spacing w:line="560" w:lineRule="exact"/>
        <w:jc w:val="right"/>
        <w:textAlignment w:val="auto"/>
        <w:rPr>
          <w:rFonts w:hint="eastAsia" w:ascii="楷体_GB2312" w:hAnsi="楷体_GB2312" w:eastAsia="楷体_GB2312" w:cs="楷体_GB2312"/>
          <w:color w:val="000000"/>
          <w:spacing w:val="0"/>
          <w:kern w:val="2"/>
          <w:sz w:val="32"/>
          <w:szCs w:val="32"/>
          <w:lang w:val="en-US" w:eastAsia="zh-CN"/>
        </w:rPr>
      </w:pPr>
      <w:r>
        <w:rPr>
          <w:rFonts w:hint="eastAsia" w:ascii="楷体_GB2312" w:hAnsi="楷体_GB2312" w:eastAsia="楷体_GB2312" w:cs="楷体_GB2312"/>
          <w:color w:val="000000"/>
          <w:spacing w:val="6"/>
          <w:kern w:val="2"/>
          <w:sz w:val="32"/>
          <w:szCs w:val="32"/>
          <w:lang w:eastAsia="zh-CN"/>
        </w:rPr>
        <w:t>20</w:t>
      </w:r>
      <w:r>
        <w:rPr>
          <w:rFonts w:hint="eastAsia" w:ascii="楷体_GB2312" w:hAnsi="楷体_GB2312" w:eastAsia="楷体_GB2312" w:cs="楷体_GB2312"/>
          <w:color w:val="000000"/>
          <w:spacing w:val="6"/>
          <w:kern w:val="2"/>
          <w:sz w:val="32"/>
          <w:szCs w:val="32"/>
          <w:lang w:val="en-US" w:eastAsia="zh-CN"/>
        </w:rPr>
        <w:t>23</w:t>
      </w:r>
      <w:r>
        <w:rPr>
          <w:rFonts w:hint="eastAsia" w:ascii="楷体_GB2312" w:hAnsi="楷体_GB2312" w:eastAsia="楷体_GB2312" w:cs="楷体_GB2312"/>
          <w:color w:val="000000"/>
          <w:spacing w:val="6"/>
          <w:kern w:val="2"/>
          <w:sz w:val="32"/>
          <w:szCs w:val="32"/>
          <w:lang w:eastAsia="zh-CN"/>
        </w:rPr>
        <w:t>年</w:t>
      </w:r>
      <w:r>
        <w:rPr>
          <w:rFonts w:hint="eastAsia" w:ascii="楷体_GB2312" w:hAnsi="楷体_GB2312" w:eastAsia="楷体_GB2312" w:cs="楷体_GB2312"/>
          <w:spacing w:val="6"/>
          <w:sz w:val="32"/>
          <w:szCs w:val="32"/>
          <w:lang w:val="en-US" w:eastAsia="zh-CN"/>
        </w:rPr>
        <w:t>11</w:t>
      </w:r>
      <w:r>
        <w:rPr>
          <w:rFonts w:hint="eastAsia" w:ascii="楷体_GB2312" w:hAnsi="楷体_GB2312" w:eastAsia="楷体_GB2312" w:cs="楷体_GB2312"/>
          <w:color w:val="000000"/>
          <w:spacing w:val="6"/>
          <w:kern w:val="2"/>
          <w:sz w:val="32"/>
          <w:szCs w:val="32"/>
          <w:lang w:eastAsia="zh-CN"/>
        </w:rPr>
        <w:t>月</w:t>
      </w:r>
      <w:r>
        <w:rPr>
          <w:rFonts w:hint="eastAsia" w:ascii="楷体_GB2312" w:hAnsi="楷体_GB2312" w:eastAsia="楷体_GB2312" w:cs="楷体_GB2312"/>
          <w:spacing w:val="6"/>
          <w:sz w:val="32"/>
          <w:szCs w:val="32"/>
          <w:lang w:val="en-US" w:eastAsia="zh-CN"/>
        </w:rPr>
        <w:t>1</w:t>
      </w:r>
      <w:r>
        <w:rPr>
          <w:rFonts w:hint="eastAsia" w:ascii="楷体_GB2312" w:hAnsi="楷体_GB2312" w:eastAsia="楷体_GB2312" w:cs="楷体_GB2312"/>
          <w:color w:val="000000"/>
          <w:spacing w:val="6"/>
          <w:kern w:val="2"/>
          <w:sz w:val="32"/>
          <w:szCs w:val="32"/>
          <w:lang w:eastAsia="zh-CN"/>
        </w:rPr>
        <w:t>日</w:t>
      </w:r>
      <w:r>
        <w:rPr>
          <w:rFonts w:hint="eastAsia" w:ascii="楷体_GB2312" w:hAnsi="楷体_GB2312" w:eastAsia="楷体_GB2312" w:cs="楷体_GB2312"/>
          <w:color w:val="000000"/>
          <w:spacing w:val="0"/>
          <w:kern w:val="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000000"/>
          <w:kern w:val="0"/>
          <w:sz w:val="32"/>
          <w:szCs w:val="32"/>
          <w:lang w:eastAsia="zh-CN"/>
        </w:rPr>
      </w:pPr>
      <w:r>
        <w:rPr>
          <w:rFonts w:hint="eastAsia" w:ascii="楷体_GB2312" w:hAnsi="楷体_GB2312" w:eastAsia="楷体_GB2312" w:cs="楷体_GB2312"/>
          <w:color w:val="000000"/>
          <w:kern w:val="0"/>
          <w:sz w:val="32"/>
          <w:szCs w:val="32"/>
          <w:lang w:eastAsia="zh-CN"/>
        </w:rPr>
        <w:t>（</w:t>
      </w:r>
      <w:r>
        <w:rPr>
          <w:rFonts w:hint="eastAsia" w:ascii="楷体_GB2312" w:hAnsi="楷体_GB2312" w:eastAsia="楷体_GB2312" w:cs="楷体_GB2312"/>
          <w:color w:val="000000"/>
          <w:kern w:val="0"/>
          <w:sz w:val="32"/>
          <w:szCs w:val="32"/>
          <w:lang w:val="en-US" w:eastAsia="zh-CN"/>
        </w:rPr>
        <w:t>此件公开发布</w:t>
      </w:r>
      <w:r>
        <w:rPr>
          <w:rFonts w:hint="eastAsia" w:ascii="楷体_GB2312" w:hAnsi="楷体_GB2312" w:eastAsia="楷体_GB2312" w:cs="楷体_GB2312"/>
          <w:color w:val="000000"/>
          <w:kern w:val="0"/>
          <w:sz w:val="32"/>
          <w:szCs w:val="32"/>
          <w:lang w:eastAsia="zh-CN"/>
        </w:rPr>
        <w:t>）</w:t>
      </w:r>
    </w:p>
    <w:p>
      <w:pPr>
        <w:keepNext w:val="0"/>
        <w:keepLines w:val="0"/>
        <w:pageBreakBefore w:val="0"/>
        <w:widowControl w:val="0"/>
        <w:kinsoku/>
        <w:overflowPunct/>
        <w:topLinePunct w:val="0"/>
        <w:autoSpaceDE/>
        <w:autoSpaceDN/>
        <w:bidi w:val="0"/>
        <w:adjustRightInd/>
        <w:snapToGrid/>
        <w:spacing w:before="0" w:beforeAutospacing="0" w:after="0" w:afterAutospacing="0" w:line="600" w:lineRule="exact"/>
        <w:jc w:val="center"/>
        <w:textAlignment w:val="auto"/>
        <w:rPr>
          <w:rFonts w:hint="eastAsia" w:ascii="方正小标宋简体" w:hAnsi="方正小标宋简体" w:eastAsia="方正小标宋简体" w:cs="方正小标宋简体"/>
          <w:color w:val="000000"/>
          <w:spacing w:val="6"/>
          <w:kern w:val="0"/>
          <w:sz w:val="44"/>
          <w:szCs w:val="44"/>
          <w:shd w:val="clear" w:color="auto" w:fill="FFFFFF"/>
          <w:lang w:val="en-US" w:eastAsia="zh-CN" w:bidi="ar-SA"/>
        </w:rPr>
      </w:pPr>
    </w:p>
    <w:p>
      <w:pPr>
        <w:keepNext w:val="0"/>
        <w:keepLines w:val="0"/>
        <w:pageBreakBefore w:val="0"/>
        <w:widowControl w:val="0"/>
        <w:kinsoku/>
        <w:overflowPunct/>
        <w:topLinePunct w:val="0"/>
        <w:autoSpaceDE/>
        <w:autoSpaceDN/>
        <w:bidi w:val="0"/>
        <w:adjustRightInd/>
        <w:snapToGrid/>
        <w:spacing w:before="0" w:beforeAutospacing="0" w:after="0" w:afterAutospacing="0" w:line="600" w:lineRule="exact"/>
        <w:jc w:val="center"/>
        <w:textAlignment w:val="auto"/>
        <w:rPr>
          <w:rFonts w:hint="eastAsia" w:ascii="方正小标宋简体" w:hAnsi="方正小标宋简体" w:eastAsia="方正小标宋简体" w:cs="方正小标宋简体"/>
          <w:color w:val="000000"/>
          <w:spacing w:val="6"/>
          <w:kern w:val="0"/>
          <w:sz w:val="44"/>
          <w:szCs w:val="44"/>
          <w:shd w:val="clear" w:color="auto" w:fill="FFFFFF"/>
          <w:lang w:val="en-US" w:eastAsia="zh-CN" w:bidi="ar-SA"/>
        </w:rPr>
      </w:pPr>
    </w:p>
    <w:p>
      <w:pPr>
        <w:keepNext w:val="0"/>
        <w:keepLines w:val="0"/>
        <w:pageBreakBefore w:val="0"/>
        <w:widowControl w:val="0"/>
        <w:kinsoku/>
        <w:overflowPunct/>
        <w:topLinePunct w:val="0"/>
        <w:autoSpaceDE/>
        <w:autoSpaceDN/>
        <w:bidi w:val="0"/>
        <w:adjustRightInd/>
        <w:snapToGrid/>
        <w:spacing w:before="0" w:beforeAutospacing="0" w:after="0" w:afterAutospacing="0" w:line="600" w:lineRule="exact"/>
        <w:jc w:val="center"/>
        <w:textAlignment w:val="auto"/>
        <w:rPr>
          <w:rFonts w:hint="eastAsia" w:ascii="方正小标宋简体" w:hAnsi="方正小标宋简体" w:eastAsia="方正小标宋简体" w:cs="方正小标宋简体"/>
          <w:color w:val="000000"/>
          <w:spacing w:val="6"/>
          <w:kern w:val="0"/>
          <w:sz w:val="44"/>
          <w:szCs w:val="44"/>
          <w:shd w:val="clear" w:color="auto" w:fill="FFFFFF"/>
          <w:lang w:val="en-US" w:eastAsia="zh-CN" w:bidi="ar-SA"/>
        </w:rPr>
      </w:pPr>
      <w:r>
        <w:rPr>
          <w:rFonts w:hint="eastAsia" w:ascii="方正小标宋简体" w:hAnsi="方正小标宋简体" w:eastAsia="方正小标宋简体" w:cs="方正小标宋简体"/>
          <w:color w:val="000000"/>
          <w:spacing w:val="6"/>
          <w:kern w:val="0"/>
          <w:sz w:val="44"/>
          <w:szCs w:val="44"/>
          <w:shd w:val="clear" w:color="auto" w:fill="FFFFFF"/>
          <w:lang w:val="en-US" w:eastAsia="zh-CN" w:bidi="ar-SA"/>
        </w:rPr>
        <w:t>济南新旧动能转换起步区关于支持金融产业加快发展的若干政策</w:t>
      </w:r>
    </w:p>
    <w:p>
      <w:pPr>
        <w:pStyle w:val="2"/>
        <w:keepNext w:val="0"/>
        <w:keepLines w:val="0"/>
        <w:pageBreakBefore w:val="0"/>
        <w:widowControl w:val="0"/>
        <w:kinsoku/>
        <w:overflowPunct/>
        <w:topLinePunct w:val="0"/>
        <w:autoSpaceDE/>
        <w:autoSpaceDN/>
        <w:bidi w:val="0"/>
        <w:adjustRightInd/>
        <w:snapToGrid/>
        <w:spacing w:after="0" w:line="579" w:lineRule="exact"/>
        <w:ind w:left="0" w:leftChars="0" w:firstLine="0" w:firstLineChars="0"/>
        <w:textAlignment w:val="auto"/>
        <w:rPr>
          <w:rFonts w:hint="eastAsia" w:ascii="仿宋_GB2312" w:hAnsi="仿宋_GB2312" w:eastAsia="仿宋_GB2312" w:cs="仿宋_GB2312"/>
          <w:spacing w:val="6"/>
          <w:sz w:val="32"/>
          <w:lang w:val="en-US" w:eastAsia="zh-CN"/>
        </w:rPr>
      </w:pPr>
    </w:p>
    <w:p>
      <w:pPr>
        <w:pStyle w:val="2"/>
        <w:keepNext w:val="0"/>
        <w:keepLines w:val="0"/>
        <w:pageBreakBefore w:val="0"/>
        <w:widowControl w:val="0"/>
        <w:kinsoku/>
        <w:overflowPunct/>
        <w:topLinePunct w:val="0"/>
        <w:autoSpaceDE/>
        <w:autoSpaceDN/>
        <w:bidi w:val="0"/>
        <w:adjustRightInd/>
        <w:snapToGrid/>
        <w:spacing w:after="0" w:line="579" w:lineRule="exact"/>
        <w:ind w:left="0" w:leftChars="0"/>
        <w:textAlignment w:val="auto"/>
        <w:rPr>
          <w:rFonts w:hint="eastAsia" w:ascii="仿宋_GB2312" w:hAnsi="仿宋_GB2312" w:eastAsia="仿宋_GB2312" w:cs="仿宋_GB2312"/>
          <w:spacing w:val="6"/>
          <w:sz w:val="32"/>
          <w:lang w:val="en-US" w:eastAsia="zh-CN"/>
        </w:rPr>
      </w:pPr>
      <w:r>
        <w:rPr>
          <w:rFonts w:hint="eastAsia" w:ascii="仿宋_GB2312" w:hAnsi="仿宋_GB2312" w:eastAsia="仿宋_GB2312" w:cs="仿宋_GB2312"/>
          <w:spacing w:val="6"/>
          <w:sz w:val="32"/>
          <w:lang w:val="en-US" w:eastAsia="zh-CN"/>
        </w:rPr>
        <w:t>为深入贯彻落实《国务院关于支持山东深化新旧动能转换推动绿色低碳高质量发展的意见》（国发〔2022〕18号）文件精神，促进金融服务业在济南新旧动能转换起步区（以下简称起步区）快速发展，形成各类金融企业功能互补、特色明显、竞争有序的现代金融服务体系，充分发挥金融对起步区开发建设和实体经济高质量发展的支持和促进作用，结合起步区实际，特制定以下政策。</w:t>
      </w:r>
    </w:p>
    <w:p>
      <w:pPr>
        <w:pStyle w:val="2"/>
        <w:keepNext w:val="0"/>
        <w:keepLines w:val="0"/>
        <w:pageBreakBefore w:val="0"/>
        <w:widowControl w:val="0"/>
        <w:kinsoku/>
        <w:overflowPunct/>
        <w:topLinePunct w:val="0"/>
        <w:autoSpaceDE/>
        <w:autoSpaceDN/>
        <w:bidi w:val="0"/>
        <w:adjustRightInd/>
        <w:snapToGrid/>
        <w:spacing w:after="0" w:line="579" w:lineRule="exact"/>
        <w:ind w:left="0" w:leftChars="0"/>
        <w:textAlignment w:val="auto"/>
        <w:rPr>
          <w:rFonts w:hint="eastAsia" w:ascii="黑体" w:hAnsi="黑体" w:eastAsia="黑体" w:cs="黑体"/>
          <w:spacing w:val="6"/>
          <w:sz w:val="32"/>
          <w:lang w:val="en-US" w:eastAsia="zh-CN"/>
        </w:rPr>
      </w:pPr>
      <w:r>
        <w:rPr>
          <w:rFonts w:hint="eastAsia" w:ascii="黑体" w:hAnsi="黑体" w:eastAsia="黑体" w:cs="黑体"/>
          <w:spacing w:val="6"/>
          <w:sz w:val="32"/>
          <w:lang w:val="en-US" w:eastAsia="zh-CN"/>
        </w:rPr>
        <w:t>一、注册落户奖励</w:t>
      </w:r>
    </w:p>
    <w:p>
      <w:pPr>
        <w:pStyle w:val="2"/>
        <w:keepNext w:val="0"/>
        <w:keepLines w:val="0"/>
        <w:pageBreakBefore w:val="0"/>
        <w:widowControl w:val="0"/>
        <w:kinsoku/>
        <w:overflowPunct/>
        <w:topLinePunct w:val="0"/>
        <w:autoSpaceDE/>
        <w:autoSpaceDN/>
        <w:bidi w:val="0"/>
        <w:adjustRightInd/>
        <w:snapToGrid/>
        <w:spacing w:after="0" w:line="579" w:lineRule="exact"/>
        <w:ind w:left="0" w:leftChars="0"/>
        <w:textAlignment w:val="auto"/>
        <w:rPr>
          <w:rFonts w:hint="eastAsia" w:ascii="仿宋_GB2312" w:hAnsi="仿宋_GB2312" w:eastAsia="仿宋_GB2312" w:cs="仿宋_GB2312"/>
          <w:spacing w:val="6"/>
          <w:sz w:val="32"/>
          <w:lang w:val="en-US" w:eastAsia="zh-CN"/>
        </w:rPr>
      </w:pPr>
      <w:r>
        <w:rPr>
          <w:rFonts w:hint="eastAsia" w:ascii="仿宋_GB2312" w:hAnsi="仿宋_GB2312" w:eastAsia="仿宋_GB2312" w:cs="仿宋_GB2312"/>
          <w:spacing w:val="6"/>
          <w:sz w:val="32"/>
          <w:lang w:val="en-US" w:eastAsia="zh-CN"/>
        </w:rPr>
        <w:t>1.鼓励新设或引进金融机构、私募股权投资企业、地方金融组织、金融中介服务机构等，丰富金融资源供给体系。对新设立或新引进的金融机构、私募股权投资企业、地方金融组织、金融中介服务机构等，在享受市级梯次奖补的基础上，上浮10%，上浮奖励不超过500万元。</w:t>
      </w:r>
    </w:p>
    <w:p>
      <w:pPr>
        <w:pStyle w:val="2"/>
        <w:keepNext w:val="0"/>
        <w:keepLines w:val="0"/>
        <w:pageBreakBefore w:val="0"/>
        <w:widowControl w:val="0"/>
        <w:kinsoku/>
        <w:overflowPunct/>
        <w:topLinePunct w:val="0"/>
        <w:autoSpaceDE/>
        <w:autoSpaceDN/>
        <w:bidi w:val="0"/>
        <w:adjustRightInd/>
        <w:snapToGrid/>
        <w:spacing w:after="0" w:line="579" w:lineRule="exact"/>
        <w:ind w:left="0" w:leftChars="0"/>
        <w:textAlignment w:val="auto"/>
        <w:rPr>
          <w:rFonts w:hint="eastAsia" w:ascii="仿宋_GB2312" w:hAnsi="仿宋_GB2312" w:eastAsia="仿宋_GB2312" w:cs="仿宋_GB2312"/>
          <w:spacing w:val="6"/>
          <w:sz w:val="32"/>
          <w:lang w:val="en-US" w:eastAsia="zh-CN"/>
        </w:rPr>
      </w:pPr>
      <w:r>
        <w:rPr>
          <w:rFonts w:hint="eastAsia" w:ascii="仿宋_GB2312" w:hAnsi="仿宋_GB2312" w:eastAsia="仿宋_GB2312" w:cs="仿宋_GB2312"/>
          <w:spacing w:val="6"/>
          <w:sz w:val="32"/>
          <w:lang w:val="en-US" w:eastAsia="zh-CN"/>
        </w:rPr>
        <w:t>2.支持优质高端金融资源汇聚，加快高能级机构“首店”入驻，不断增强起步区金融业的集聚力和辐射力。对在起步区设立济南首个机构的500强金融机构和股权投资机构（《财富》世界500强排行榜）一次性给予50万元奖励。</w:t>
      </w:r>
    </w:p>
    <w:p>
      <w:pPr>
        <w:pStyle w:val="2"/>
        <w:keepNext w:val="0"/>
        <w:keepLines w:val="0"/>
        <w:pageBreakBefore w:val="0"/>
        <w:widowControl w:val="0"/>
        <w:kinsoku/>
        <w:overflowPunct/>
        <w:topLinePunct w:val="0"/>
        <w:autoSpaceDE/>
        <w:autoSpaceDN/>
        <w:bidi w:val="0"/>
        <w:adjustRightInd/>
        <w:snapToGrid/>
        <w:spacing w:after="0" w:line="579" w:lineRule="exact"/>
        <w:ind w:left="0" w:leftChars="0"/>
        <w:textAlignment w:val="auto"/>
        <w:rPr>
          <w:rFonts w:hint="eastAsia" w:ascii="仿宋_GB2312" w:hAnsi="仿宋_GB2312" w:eastAsia="仿宋_GB2312" w:cs="仿宋_GB2312"/>
          <w:spacing w:val="6"/>
          <w:sz w:val="32"/>
          <w:lang w:val="en-US" w:eastAsia="zh-CN"/>
        </w:rPr>
      </w:pPr>
      <w:r>
        <w:rPr>
          <w:rFonts w:hint="eastAsia" w:ascii="仿宋_GB2312" w:hAnsi="仿宋_GB2312" w:eastAsia="仿宋_GB2312" w:cs="仿宋_GB2312"/>
          <w:spacing w:val="6"/>
          <w:sz w:val="32"/>
          <w:lang w:val="en-US" w:eastAsia="zh-CN"/>
        </w:rPr>
        <w:t>3.对新设立或新引进的金融机构、私募股权投资企业、地方金融组织等发生的自建、购买或租赁办公用房的，在享受市级奖补的基础上，上浮10%，上浮奖励不超过100万元。金融中介服务机构发生购买或租赁办公用房的，在享受市级奖补的基础上，上浮10%，上浮奖励不超过30万元。</w:t>
      </w:r>
    </w:p>
    <w:p>
      <w:pPr>
        <w:pStyle w:val="2"/>
        <w:keepNext w:val="0"/>
        <w:keepLines w:val="0"/>
        <w:pageBreakBefore w:val="0"/>
        <w:widowControl w:val="0"/>
        <w:kinsoku/>
        <w:overflowPunct/>
        <w:topLinePunct w:val="0"/>
        <w:autoSpaceDE/>
        <w:autoSpaceDN/>
        <w:bidi w:val="0"/>
        <w:adjustRightInd/>
        <w:snapToGrid/>
        <w:spacing w:after="0" w:line="579" w:lineRule="exact"/>
        <w:ind w:left="0" w:leftChars="0"/>
        <w:textAlignment w:val="auto"/>
        <w:rPr>
          <w:rFonts w:hint="eastAsia" w:ascii="黑体" w:hAnsi="黑体" w:eastAsia="黑体" w:cs="黑体"/>
          <w:spacing w:val="6"/>
          <w:sz w:val="32"/>
          <w:lang w:val="en-US" w:eastAsia="zh-CN"/>
        </w:rPr>
      </w:pPr>
      <w:r>
        <w:rPr>
          <w:rFonts w:hint="eastAsia" w:ascii="黑体" w:hAnsi="黑体" w:eastAsia="黑体" w:cs="黑体"/>
          <w:spacing w:val="6"/>
          <w:sz w:val="32"/>
          <w:lang w:val="en-US" w:eastAsia="zh-CN"/>
        </w:rPr>
        <w:t>二、经营发展奖励</w:t>
      </w:r>
    </w:p>
    <w:p>
      <w:pPr>
        <w:pStyle w:val="2"/>
        <w:keepNext w:val="0"/>
        <w:keepLines w:val="0"/>
        <w:pageBreakBefore w:val="0"/>
        <w:widowControl w:val="0"/>
        <w:kinsoku/>
        <w:overflowPunct/>
        <w:topLinePunct w:val="0"/>
        <w:autoSpaceDE/>
        <w:autoSpaceDN/>
        <w:bidi w:val="0"/>
        <w:adjustRightInd/>
        <w:snapToGrid/>
        <w:spacing w:after="0" w:line="579" w:lineRule="exact"/>
        <w:ind w:left="0" w:leftChars="0"/>
        <w:textAlignment w:val="auto"/>
        <w:rPr>
          <w:rFonts w:hint="eastAsia" w:ascii="仿宋_GB2312" w:hAnsi="仿宋_GB2312" w:eastAsia="仿宋_GB2312" w:cs="仿宋_GB2312"/>
          <w:spacing w:val="6"/>
          <w:sz w:val="32"/>
          <w:lang w:val="en-US" w:eastAsia="zh-CN"/>
        </w:rPr>
      </w:pPr>
      <w:r>
        <w:rPr>
          <w:rFonts w:hint="eastAsia" w:ascii="仿宋_GB2312" w:hAnsi="仿宋_GB2312" w:eastAsia="仿宋_GB2312" w:cs="仿宋_GB2312"/>
          <w:spacing w:val="6"/>
          <w:sz w:val="32"/>
          <w:lang w:val="en-US" w:eastAsia="zh-CN"/>
        </w:rPr>
        <w:t>4.银行机构、保险公司、证券公司等金融机构，年营业收入首次超过3亿元的，按照年营业收入的5‰给予经营发展奖励，最高奖励金额不超过300万元。</w:t>
      </w:r>
    </w:p>
    <w:p>
      <w:pPr>
        <w:pStyle w:val="2"/>
        <w:keepNext w:val="0"/>
        <w:keepLines w:val="0"/>
        <w:pageBreakBefore w:val="0"/>
        <w:widowControl w:val="0"/>
        <w:kinsoku/>
        <w:overflowPunct/>
        <w:topLinePunct w:val="0"/>
        <w:autoSpaceDE/>
        <w:autoSpaceDN/>
        <w:bidi w:val="0"/>
        <w:adjustRightInd/>
        <w:snapToGrid/>
        <w:spacing w:after="0" w:line="579" w:lineRule="exact"/>
        <w:ind w:left="0" w:leftChars="0"/>
        <w:textAlignment w:val="auto"/>
        <w:rPr>
          <w:rFonts w:hint="eastAsia" w:ascii="仿宋_GB2312" w:hAnsi="仿宋_GB2312" w:eastAsia="仿宋_GB2312" w:cs="仿宋_GB2312"/>
          <w:spacing w:val="6"/>
          <w:sz w:val="32"/>
          <w:lang w:val="en-US" w:eastAsia="zh-CN"/>
        </w:rPr>
      </w:pPr>
      <w:r>
        <w:rPr>
          <w:rFonts w:hint="eastAsia" w:ascii="仿宋_GB2312" w:hAnsi="仿宋_GB2312" w:eastAsia="仿宋_GB2312" w:cs="仿宋_GB2312"/>
          <w:spacing w:val="6"/>
          <w:sz w:val="32"/>
          <w:lang w:val="en-US" w:eastAsia="zh-CN"/>
        </w:rPr>
        <w:t>5.地方金融组织、金融中介服务机构，年营业收入首次超过5000万元及以上的，按照年营业收入的1%给予经营发展奖励，最高奖励金额不超过100万元。</w:t>
      </w:r>
    </w:p>
    <w:p>
      <w:pPr>
        <w:pStyle w:val="2"/>
        <w:keepNext w:val="0"/>
        <w:keepLines w:val="0"/>
        <w:pageBreakBefore w:val="0"/>
        <w:widowControl w:val="0"/>
        <w:kinsoku/>
        <w:overflowPunct/>
        <w:topLinePunct w:val="0"/>
        <w:autoSpaceDE/>
        <w:autoSpaceDN/>
        <w:bidi w:val="0"/>
        <w:adjustRightInd/>
        <w:snapToGrid/>
        <w:spacing w:after="0" w:line="579" w:lineRule="exact"/>
        <w:ind w:left="0" w:leftChars="0"/>
        <w:textAlignment w:val="auto"/>
        <w:rPr>
          <w:rFonts w:hint="eastAsia" w:ascii="仿宋_GB2312" w:hAnsi="仿宋_GB2312" w:eastAsia="仿宋_GB2312" w:cs="仿宋_GB2312"/>
          <w:spacing w:val="6"/>
          <w:sz w:val="32"/>
          <w:lang w:val="en-US" w:eastAsia="zh-CN"/>
        </w:rPr>
      </w:pPr>
      <w:r>
        <w:rPr>
          <w:rFonts w:hint="eastAsia" w:ascii="仿宋_GB2312" w:hAnsi="仿宋_GB2312" w:eastAsia="仿宋_GB2312" w:cs="仿宋_GB2312"/>
          <w:spacing w:val="6"/>
          <w:sz w:val="32"/>
          <w:lang w:val="en-US" w:eastAsia="zh-CN"/>
        </w:rPr>
        <w:t>6.对上一完整会计年度营业收入(含投资收益)达到1亿元以上且同比增长10%以上或利润总额达到1亿元以上的私募股权投资企业，按其上一年度项目退出时个人投资者和机构投资者产生投资收益的2%给予其私募股权投资管理企业奖励，每家私募股权投资管理企业每年最高200万元。</w:t>
      </w:r>
    </w:p>
    <w:p>
      <w:pPr>
        <w:pStyle w:val="2"/>
        <w:keepNext w:val="0"/>
        <w:keepLines w:val="0"/>
        <w:pageBreakBefore w:val="0"/>
        <w:widowControl w:val="0"/>
        <w:kinsoku/>
        <w:overflowPunct/>
        <w:topLinePunct w:val="0"/>
        <w:autoSpaceDE/>
        <w:autoSpaceDN/>
        <w:bidi w:val="0"/>
        <w:adjustRightInd/>
        <w:snapToGrid/>
        <w:spacing w:after="0" w:line="579" w:lineRule="exact"/>
        <w:ind w:left="0" w:leftChars="0"/>
        <w:textAlignment w:val="auto"/>
        <w:rPr>
          <w:rFonts w:hint="eastAsia" w:ascii="仿宋_GB2312" w:hAnsi="仿宋_GB2312" w:eastAsia="仿宋_GB2312" w:cs="仿宋_GB2312"/>
          <w:spacing w:val="6"/>
          <w:sz w:val="32"/>
          <w:lang w:val="en-US" w:eastAsia="zh-CN"/>
        </w:rPr>
      </w:pPr>
      <w:r>
        <w:rPr>
          <w:rFonts w:hint="eastAsia" w:ascii="仿宋_GB2312" w:hAnsi="仿宋_GB2312" w:eastAsia="仿宋_GB2312" w:cs="仿宋_GB2312"/>
          <w:spacing w:val="6"/>
          <w:sz w:val="32"/>
          <w:lang w:val="en-US" w:eastAsia="zh-CN"/>
        </w:rPr>
        <w:t>7.符合以上经营发展奖励条件的各类金融企业，对其年工资薪金总额在30万元以上的高级管理人才及关键岗位人员，按照个人工资薪金区级经济贡献，给予100%奖励。奖励人数不超过该企业缴纳社保总人数的8%，单个企业不超过10人。</w:t>
      </w:r>
    </w:p>
    <w:p>
      <w:pPr>
        <w:pStyle w:val="2"/>
        <w:keepNext w:val="0"/>
        <w:keepLines w:val="0"/>
        <w:pageBreakBefore w:val="0"/>
        <w:widowControl w:val="0"/>
        <w:kinsoku/>
        <w:overflowPunct/>
        <w:topLinePunct w:val="0"/>
        <w:autoSpaceDE/>
        <w:autoSpaceDN/>
        <w:bidi w:val="0"/>
        <w:adjustRightInd/>
        <w:snapToGrid/>
        <w:spacing w:after="0" w:line="579" w:lineRule="exact"/>
        <w:ind w:left="0" w:leftChars="0"/>
        <w:textAlignment w:val="auto"/>
        <w:rPr>
          <w:rFonts w:hint="eastAsia" w:ascii="黑体" w:hAnsi="黑体" w:eastAsia="黑体" w:cs="黑体"/>
          <w:spacing w:val="6"/>
          <w:sz w:val="32"/>
          <w:lang w:val="en-US" w:eastAsia="zh-CN"/>
        </w:rPr>
      </w:pPr>
      <w:r>
        <w:rPr>
          <w:rFonts w:hint="eastAsia" w:ascii="黑体" w:hAnsi="黑体" w:eastAsia="黑体" w:cs="黑体"/>
          <w:spacing w:val="6"/>
          <w:sz w:val="32"/>
          <w:lang w:val="en-US" w:eastAsia="zh-CN"/>
        </w:rPr>
        <w:t>三、支持实体经济奖励</w:t>
      </w:r>
    </w:p>
    <w:p>
      <w:pPr>
        <w:pStyle w:val="2"/>
        <w:keepNext w:val="0"/>
        <w:keepLines w:val="0"/>
        <w:pageBreakBefore w:val="0"/>
        <w:widowControl w:val="0"/>
        <w:kinsoku/>
        <w:overflowPunct/>
        <w:topLinePunct w:val="0"/>
        <w:autoSpaceDE/>
        <w:autoSpaceDN/>
        <w:bidi w:val="0"/>
        <w:adjustRightInd/>
        <w:snapToGrid/>
        <w:spacing w:after="0" w:line="579" w:lineRule="exact"/>
        <w:ind w:left="0" w:leftChars="0"/>
        <w:textAlignment w:val="auto"/>
        <w:rPr>
          <w:rFonts w:hint="eastAsia" w:ascii="仿宋_GB2312" w:hAnsi="仿宋_GB2312" w:eastAsia="仿宋_GB2312" w:cs="仿宋_GB2312"/>
          <w:spacing w:val="6"/>
          <w:sz w:val="32"/>
          <w:lang w:val="en-US" w:eastAsia="zh-CN"/>
        </w:rPr>
      </w:pPr>
      <w:r>
        <w:rPr>
          <w:rFonts w:hint="eastAsia" w:ascii="仿宋_GB2312" w:hAnsi="仿宋_GB2312" w:eastAsia="仿宋_GB2312" w:cs="仿宋_GB2312"/>
          <w:spacing w:val="6"/>
          <w:sz w:val="32"/>
          <w:lang w:val="en-US" w:eastAsia="zh-CN"/>
        </w:rPr>
        <w:t>8.基金投资区内种子期、初创期科技型企业的,在享受市级奖补的基础上，最高奖励金额提高50万元。基金投资我区非种子期、非初创期企业的,最高奖励金额提高100万元。</w:t>
      </w:r>
    </w:p>
    <w:p>
      <w:pPr>
        <w:pStyle w:val="2"/>
        <w:keepNext w:val="0"/>
        <w:keepLines w:val="0"/>
        <w:pageBreakBefore w:val="0"/>
        <w:widowControl w:val="0"/>
        <w:kinsoku/>
        <w:overflowPunct/>
        <w:topLinePunct w:val="0"/>
        <w:autoSpaceDE/>
        <w:autoSpaceDN/>
        <w:bidi w:val="0"/>
        <w:adjustRightInd/>
        <w:snapToGrid/>
        <w:spacing w:after="0" w:line="579" w:lineRule="exact"/>
        <w:ind w:left="0" w:leftChars="0"/>
        <w:textAlignment w:val="auto"/>
        <w:rPr>
          <w:rFonts w:hint="eastAsia" w:ascii="仿宋_GB2312" w:hAnsi="仿宋_GB2312" w:eastAsia="仿宋_GB2312" w:cs="仿宋_GB2312"/>
          <w:spacing w:val="6"/>
          <w:sz w:val="32"/>
          <w:lang w:val="en-US" w:eastAsia="zh-CN"/>
        </w:rPr>
      </w:pPr>
      <w:r>
        <w:rPr>
          <w:rFonts w:hint="eastAsia" w:ascii="仿宋_GB2312" w:hAnsi="仿宋_GB2312" w:eastAsia="仿宋_GB2312" w:cs="仿宋_GB2312"/>
          <w:spacing w:val="6"/>
          <w:sz w:val="32"/>
          <w:lang w:val="en-US" w:eastAsia="zh-CN"/>
        </w:rPr>
        <w:t>9.基金向起步区初创期科技型企业投资满一年后，自投资之日起五年内实际发生损失的，按照对单个投资项目的首轮投资实际发生损失额的20%给予补贴，单个投资项目风险补贴最高200万元，每家私募股权投资管理企业每年风险补贴最高200万元。</w:t>
      </w:r>
    </w:p>
    <w:p>
      <w:pPr>
        <w:pStyle w:val="2"/>
        <w:keepNext w:val="0"/>
        <w:keepLines w:val="0"/>
        <w:pageBreakBefore w:val="0"/>
        <w:widowControl w:val="0"/>
        <w:kinsoku/>
        <w:overflowPunct/>
        <w:topLinePunct w:val="0"/>
        <w:autoSpaceDE/>
        <w:autoSpaceDN/>
        <w:bidi w:val="0"/>
        <w:adjustRightInd/>
        <w:snapToGrid/>
        <w:spacing w:after="0" w:line="579" w:lineRule="exact"/>
        <w:ind w:left="0" w:leftChars="0"/>
        <w:textAlignment w:val="auto"/>
        <w:rPr>
          <w:rFonts w:hint="eastAsia" w:ascii="黑体" w:hAnsi="黑体" w:eastAsia="黑体" w:cs="黑体"/>
          <w:spacing w:val="6"/>
          <w:sz w:val="32"/>
          <w:lang w:val="en-US" w:eastAsia="zh-CN"/>
        </w:rPr>
      </w:pPr>
      <w:r>
        <w:rPr>
          <w:rFonts w:hint="eastAsia" w:ascii="黑体" w:hAnsi="黑体" w:eastAsia="黑体" w:cs="黑体"/>
          <w:spacing w:val="6"/>
          <w:sz w:val="32"/>
          <w:lang w:val="en-US" w:eastAsia="zh-CN"/>
        </w:rPr>
        <w:t>四、企业上市及直接融资奖励</w:t>
      </w:r>
    </w:p>
    <w:p>
      <w:pPr>
        <w:pStyle w:val="2"/>
        <w:keepNext w:val="0"/>
        <w:keepLines w:val="0"/>
        <w:pageBreakBefore w:val="0"/>
        <w:widowControl w:val="0"/>
        <w:kinsoku/>
        <w:overflowPunct/>
        <w:topLinePunct w:val="0"/>
        <w:autoSpaceDE/>
        <w:autoSpaceDN/>
        <w:bidi w:val="0"/>
        <w:adjustRightInd/>
        <w:snapToGrid/>
        <w:spacing w:after="0" w:line="579" w:lineRule="exact"/>
        <w:ind w:left="0" w:leftChars="0"/>
        <w:textAlignment w:val="auto"/>
        <w:rPr>
          <w:rFonts w:hint="eastAsia" w:ascii="仿宋_GB2312" w:hAnsi="仿宋_GB2312" w:eastAsia="仿宋_GB2312" w:cs="仿宋_GB2312"/>
          <w:spacing w:val="6"/>
          <w:sz w:val="32"/>
          <w:lang w:val="en-US" w:eastAsia="zh-CN"/>
        </w:rPr>
      </w:pPr>
      <w:r>
        <w:rPr>
          <w:rFonts w:hint="eastAsia" w:ascii="仿宋_GB2312" w:hAnsi="仿宋_GB2312" w:eastAsia="仿宋_GB2312" w:cs="仿宋_GB2312"/>
          <w:spacing w:val="6"/>
          <w:sz w:val="32"/>
          <w:lang w:val="en-US" w:eastAsia="zh-CN"/>
        </w:rPr>
        <w:t>10.对拟在境内证券交易所上市的企业，根据上市工作实施进程分阶段给予奖励。按照当前的审核机制，拟上市企业在中国证监会山东监管局完成报备并正式进入辅导期的，证券交易所受理首发上市申报材料的，上市成功的，在享受市级奖补的基础上，分别另行给予50万元、50万元、100万元的奖励。对在境外主要证券交易所实现上市的企业，在享受市级奖补的基础上，另行给予100万元的奖励。对在全国中小企业股份转让系统挂牌成功的企业，在享受市级奖补的基础上，另行给予10万元的奖励。</w:t>
      </w:r>
    </w:p>
    <w:p>
      <w:pPr>
        <w:pStyle w:val="2"/>
        <w:keepNext w:val="0"/>
        <w:keepLines w:val="0"/>
        <w:pageBreakBefore w:val="0"/>
        <w:widowControl w:val="0"/>
        <w:kinsoku/>
        <w:overflowPunct/>
        <w:topLinePunct w:val="0"/>
        <w:autoSpaceDE/>
        <w:autoSpaceDN/>
        <w:bidi w:val="0"/>
        <w:adjustRightInd/>
        <w:snapToGrid/>
        <w:spacing w:after="0" w:line="579" w:lineRule="exact"/>
        <w:ind w:left="0" w:leftChars="0"/>
        <w:textAlignment w:val="auto"/>
        <w:rPr>
          <w:rFonts w:hint="eastAsia" w:ascii="仿宋_GB2312" w:hAnsi="仿宋_GB2312" w:eastAsia="仿宋_GB2312" w:cs="仿宋_GB2312"/>
          <w:spacing w:val="6"/>
          <w:sz w:val="32"/>
          <w:lang w:val="en-US" w:eastAsia="zh-CN"/>
        </w:rPr>
      </w:pPr>
      <w:r>
        <w:rPr>
          <w:rFonts w:hint="eastAsia" w:ascii="仿宋_GB2312" w:hAnsi="仿宋_GB2312" w:eastAsia="仿宋_GB2312" w:cs="仿宋_GB2312"/>
          <w:spacing w:val="6"/>
          <w:sz w:val="32"/>
          <w:lang w:val="en-US" w:eastAsia="zh-CN"/>
        </w:rPr>
        <w:t>11.创业者在起步区注册成立的创业企业5年内取得社会风险投资的，按照融资总额的10%最高给予30万元项目配套资金。</w:t>
      </w:r>
    </w:p>
    <w:p>
      <w:pPr>
        <w:pStyle w:val="2"/>
        <w:keepNext w:val="0"/>
        <w:keepLines w:val="0"/>
        <w:pageBreakBefore w:val="0"/>
        <w:widowControl w:val="0"/>
        <w:kinsoku/>
        <w:overflowPunct/>
        <w:topLinePunct w:val="0"/>
        <w:autoSpaceDE/>
        <w:autoSpaceDN/>
        <w:bidi w:val="0"/>
        <w:adjustRightInd/>
        <w:snapToGrid/>
        <w:spacing w:after="0" w:line="579" w:lineRule="exact"/>
        <w:ind w:left="0" w:leftChars="0"/>
        <w:textAlignment w:val="auto"/>
        <w:rPr>
          <w:rFonts w:hint="eastAsia" w:ascii="仿宋_GB2312" w:hAnsi="仿宋_GB2312" w:eastAsia="仿宋_GB2312" w:cs="仿宋_GB2312"/>
          <w:spacing w:val="6"/>
          <w:sz w:val="32"/>
          <w:lang w:val="en-US" w:eastAsia="zh-CN"/>
        </w:rPr>
      </w:pPr>
      <w:r>
        <w:rPr>
          <w:rFonts w:hint="eastAsia" w:ascii="仿宋_GB2312" w:hAnsi="仿宋_GB2312" w:eastAsia="仿宋_GB2312" w:cs="仿宋_GB2312"/>
          <w:spacing w:val="6"/>
          <w:sz w:val="32"/>
          <w:lang w:val="en-US" w:eastAsia="zh-CN"/>
        </w:rPr>
        <w:t>12.对人才企业成功引入专业股权投资机构500万元以上股权融资的，给予股权融资额2%的奖励，每家企业每年最高不超过30万元。对通过合法成立的担保公司进行担保取得融资的人才企业，每年给予担保放款额0.5%的担保补贴，且补贴总额累计不超过30万元。对获得“人才贷”融资总额1000万元以上的人才企业，一次性给予20万元资金补贴。</w:t>
      </w:r>
    </w:p>
    <w:p>
      <w:pPr>
        <w:pStyle w:val="2"/>
        <w:keepNext w:val="0"/>
        <w:keepLines w:val="0"/>
        <w:pageBreakBefore w:val="0"/>
        <w:widowControl w:val="0"/>
        <w:kinsoku/>
        <w:overflowPunct/>
        <w:topLinePunct w:val="0"/>
        <w:autoSpaceDE/>
        <w:autoSpaceDN/>
        <w:bidi w:val="0"/>
        <w:adjustRightInd/>
        <w:snapToGrid/>
        <w:spacing w:after="0" w:line="579" w:lineRule="exact"/>
        <w:ind w:left="0" w:leftChars="0"/>
        <w:textAlignment w:val="auto"/>
        <w:rPr>
          <w:rFonts w:hint="eastAsia" w:ascii="黑体" w:hAnsi="黑体" w:eastAsia="黑体" w:cs="黑体"/>
          <w:spacing w:val="6"/>
          <w:sz w:val="32"/>
          <w:lang w:val="en-US" w:eastAsia="zh-CN"/>
        </w:rPr>
      </w:pPr>
      <w:r>
        <w:rPr>
          <w:rFonts w:hint="eastAsia" w:ascii="黑体" w:hAnsi="黑体" w:eastAsia="黑体" w:cs="黑体"/>
          <w:spacing w:val="6"/>
          <w:sz w:val="32"/>
          <w:lang w:val="en-US" w:eastAsia="zh-CN"/>
        </w:rPr>
        <w:t>五、政府引导基金激励</w:t>
      </w:r>
    </w:p>
    <w:p>
      <w:pPr>
        <w:pStyle w:val="2"/>
        <w:keepNext w:val="0"/>
        <w:keepLines w:val="0"/>
        <w:pageBreakBefore w:val="0"/>
        <w:widowControl w:val="0"/>
        <w:kinsoku/>
        <w:overflowPunct/>
        <w:topLinePunct w:val="0"/>
        <w:autoSpaceDE/>
        <w:autoSpaceDN/>
        <w:bidi w:val="0"/>
        <w:adjustRightInd/>
        <w:snapToGrid/>
        <w:spacing w:after="0" w:line="579" w:lineRule="exact"/>
        <w:ind w:left="0" w:leftChars="0"/>
        <w:textAlignment w:val="auto"/>
        <w:rPr>
          <w:rFonts w:hint="eastAsia" w:ascii="仿宋_GB2312" w:hAnsi="仿宋_GB2312" w:eastAsia="仿宋_GB2312" w:cs="仿宋_GB2312"/>
          <w:spacing w:val="6"/>
          <w:sz w:val="32"/>
          <w:lang w:val="en-US" w:eastAsia="zh-CN"/>
        </w:rPr>
      </w:pPr>
      <w:r>
        <w:rPr>
          <w:rFonts w:hint="eastAsia" w:ascii="仿宋_GB2312" w:hAnsi="仿宋_GB2312" w:eastAsia="仿宋_GB2312" w:cs="仿宋_GB2312"/>
          <w:spacing w:val="6"/>
          <w:sz w:val="32"/>
          <w:lang w:val="en-US" w:eastAsia="zh-CN"/>
        </w:rPr>
        <w:t>13.鼓励社会出资人购买区引导基金所持基金的股权或份额。区引导基金参股基金在中国证券投资基金业协会登记备案起3年（含）内，社会出资人可以按照区引导基金原始出资额购买区引导基金所持基金的股权或份额；设立3年以后，按照市场价格购买区引导基金所持基金的股权或份额。</w:t>
      </w:r>
    </w:p>
    <w:p>
      <w:pPr>
        <w:pStyle w:val="2"/>
        <w:keepNext w:val="0"/>
        <w:keepLines w:val="0"/>
        <w:pageBreakBefore w:val="0"/>
        <w:widowControl w:val="0"/>
        <w:kinsoku/>
        <w:overflowPunct/>
        <w:topLinePunct w:val="0"/>
        <w:autoSpaceDE/>
        <w:autoSpaceDN/>
        <w:bidi w:val="0"/>
        <w:adjustRightInd/>
        <w:snapToGrid/>
        <w:spacing w:after="0" w:line="579" w:lineRule="exact"/>
        <w:ind w:left="0" w:leftChars="0"/>
        <w:textAlignment w:val="auto"/>
        <w:rPr>
          <w:rFonts w:hint="eastAsia" w:ascii="仿宋_GB2312" w:hAnsi="仿宋_GB2312" w:eastAsia="仿宋_GB2312" w:cs="仿宋_GB2312"/>
          <w:spacing w:val="6"/>
          <w:sz w:val="32"/>
          <w:lang w:val="en-US" w:eastAsia="zh-CN"/>
        </w:rPr>
      </w:pPr>
      <w:r>
        <w:rPr>
          <w:rFonts w:hint="eastAsia" w:ascii="仿宋_GB2312" w:hAnsi="仿宋_GB2312" w:eastAsia="仿宋_GB2312" w:cs="仿宋_GB2312"/>
          <w:spacing w:val="6"/>
          <w:sz w:val="32"/>
          <w:lang w:val="en-US" w:eastAsia="zh-CN"/>
        </w:rPr>
        <w:t>14.鼓励区引导基金参股基金提高运作效率。区引导基金参股基金在中国证券投资基金业协会登记备案2年（含）内，投资进度超过认缴规模50%、投资金额（含政府引导基金部分）超过2亿元，且社会资本投资比例达到50%以上的，按照实际投资额（扣除政府引导基金部分）的1%，最高给予500万元奖励。</w:t>
      </w:r>
    </w:p>
    <w:p>
      <w:pPr>
        <w:pStyle w:val="2"/>
        <w:keepNext w:val="0"/>
        <w:keepLines w:val="0"/>
        <w:pageBreakBefore w:val="0"/>
        <w:widowControl w:val="0"/>
        <w:kinsoku/>
        <w:overflowPunct/>
        <w:topLinePunct w:val="0"/>
        <w:autoSpaceDE/>
        <w:autoSpaceDN/>
        <w:bidi w:val="0"/>
        <w:adjustRightInd/>
        <w:snapToGrid/>
        <w:spacing w:after="0" w:line="579" w:lineRule="exact"/>
        <w:ind w:left="0" w:leftChars="0"/>
        <w:textAlignment w:val="auto"/>
        <w:rPr>
          <w:rFonts w:hint="eastAsia" w:ascii="仿宋_GB2312" w:hAnsi="仿宋_GB2312" w:eastAsia="仿宋_GB2312" w:cs="仿宋_GB2312"/>
          <w:spacing w:val="6"/>
          <w:sz w:val="32"/>
          <w:lang w:val="en-US" w:eastAsia="zh-CN"/>
        </w:rPr>
      </w:pPr>
      <w:r>
        <w:rPr>
          <w:rFonts w:hint="eastAsia" w:ascii="仿宋_GB2312" w:hAnsi="仿宋_GB2312" w:eastAsia="仿宋_GB2312" w:cs="仿宋_GB2312"/>
          <w:spacing w:val="6"/>
          <w:sz w:val="32"/>
          <w:lang w:val="en-US" w:eastAsia="zh-CN"/>
        </w:rPr>
        <w:t>15.适当取消区引导基金返投要求。鼓励国内外金融机构、企业和其他社会资本在起步区发起设立各类母子基金，区引导基金参股比例低于10%（含）的，取消区引导基金返投要求；区引导基金参股比例高于10%的，返投起步区比例参照市引导基金管理办法确定。</w:t>
      </w:r>
    </w:p>
    <w:p>
      <w:pPr>
        <w:pStyle w:val="2"/>
        <w:keepNext w:val="0"/>
        <w:keepLines w:val="0"/>
        <w:pageBreakBefore w:val="0"/>
        <w:widowControl w:val="0"/>
        <w:kinsoku/>
        <w:overflowPunct/>
        <w:topLinePunct w:val="0"/>
        <w:autoSpaceDE/>
        <w:autoSpaceDN/>
        <w:bidi w:val="0"/>
        <w:adjustRightInd/>
        <w:snapToGrid/>
        <w:spacing w:after="0" w:line="579" w:lineRule="exact"/>
        <w:ind w:left="0" w:leftChars="0"/>
        <w:textAlignment w:val="auto"/>
        <w:rPr>
          <w:rFonts w:hint="eastAsia" w:ascii="仿宋_GB2312" w:hAnsi="仿宋_GB2312" w:eastAsia="仿宋_GB2312" w:cs="仿宋_GB2312"/>
          <w:spacing w:val="6"/>
          <w:sz w:val="32"/>
          <w:lang w:val="en-US" w:eastAsia="zh-CN"/>
        </w:rPr>
      </w:pPr>
      <w:r>
        <w:rPr>
          <w:rFonts w:hint="eastAsia" w:ascii="仿宋_GB2312" w:hAnsi="仿宋_GB2312" w:eastAsia="仿宋_GB2312" w:cs="仿宋_GB2312"/>
          <w:spacing w:val="6"/>
          <w:sz w:val="32"/>
          <w:lang w:val="en-US" w:eastAsia="zh-CN"/>
        </w:rPr>
        <w:t>16.加大让利和奖励力度。区引导基金参股基金注册两年内投资区内相关项目的，区引导基金让渡全部收益，其中，不少于60%部分用于奖励基金管理机构。基金投资期结束后，投资区内项目比例在75%以上的，按照实际投资额（扣除政府引导基金部分）最高给予基金管理机构200万元的一次性奖励。</w:t>
      </w:r>
    </w:p>
    <w:p>
      <w:pPr>
        <w:pStyle w:val="2"/>
        <w:keepNext w:val="0"/>
        <w:keepLines w:val="0"/>
        <w:pageBreakBefore w:val="0"/>
        <w:widowControl w:val="0"/>
        <w:kinsoku/>
        <w:overflowPunct/>
        <w:topLinePunct w:val="0"/>
        <w:autoSpaceDE/>
        <w:autoSpaceDN/>
        <w:bidi w:val="0"/>
        <w:adjustRightInd/>
        <w:snapToGrid/>
        <w:spacing w:after="0" w:line="579" w:lineRule="exact"/>
        <w:ind w:left="0" w:leftChars="0"/>
        <w:textAlignment w:val="auto"/>
        <w:rPr>
          <w:rFonts w:hint="eastAsia" w:ascii="黑体" w:hAnsi="黑体" w:eastAsia="黑体" w:cs="黑体"/>
          <w:spacing w:val="6"/>
          <w:sz w:val="32"/>
          <w:lang w:val="en-US" w:eastAsia="zh-CN"/>
        </w:rPr>
      </w:pPr>
      <w:r>
        <w:rPr>
          <w:rFonts w:hint="eastAsia" w:ascii="黑体" w:hAnsi="黑体" w:eastAsia="黑体" w:cs="黑体"/>
          <w:spacing w:val="6"/>
          <w:sz w:val="32"/>
          <w:lang w:val="en-US" w:eastAsia="zh-CN"/>
        </w:rPr>
        <w:t>六、集聚高端金融人才</w:t>
      </w:r>
    </w:p>
    <w:p>
      <w:pPr>
        <w:pStyle w:val="2"/>
        <w:keepNext w:val="0"/>
        <w:keepLines w:val="0"/>
        <w:pageBreakBefore w:val="0"/>
        <w:widowControl w:val="0"/>
        <w:kinsoku/>
        <w:overflowPunct/>
        <w:topLinePunct w:val="0"/>
        <w:autoSpaceDE/>
        <w:autoSpaceDN/>
        <w:bidi w:val="0"/>
        <w:adjustRightInd/>
        <w:snapToGrid/>
        <w:spacing w:after="0" w:line="579" w:lineRule="exact"/>
        <w:ind w:left="0" w:leftChars="0"/>
        <w:textAlignment w:val="auto"/>
        <w:rPr>
          <w:rFonts w:hint="eastAsia" w:ascii="仿宋_GB2312" w:hAnsi="仿宋_GB2312" w:eastAsia="仿宋_GB2312" w:cs="仿宋_GB2312"/>
          <w:spacing w:val="6"/>
          <w:sz w:val="32"/>
          <w:lang w:val="en-US" w:eastAsia="zh-CN"/>
        </w:rPr>
      </w:pPr>
      <w:r>
        <w:rPr>
          <w:rFonts w:hint="eastAsia" w:ascii="仿宋_GB2312" w:hAnsi="仿宋_GB2312" w:eastAsia="仿宋_GB2312" w:cs="仿宋_GB2312"/>
          <w:spacing w:val="6"/>
          <w:sz w:val="32"/>
          <w:lang w:val="en-US" w:eastAsia="zh-CN"/>
        </w:rPr>
        <w:t>17.起步区高度重视金融业高素质人才的引进与培养，对新引进或新获评的齐鲁金融人才（金融英才和金融之星称号），在管理期内每年给予1.5万元工作津贴，每人每个管理期限为4年，最多可以获得两个管理期支持。</w:t>
      </w:r>
    </w:p>
    <w:p>
      <w:pPr>
        <w:pStyle w:val="2"/>
        <w:keepNext w:val="0"/>
        <w:keepLines w:val="0"/>
        <w:pageBreakBefore w:val="0"/>
        <w:widowControl w:val="0"/>
        <w:kinsoku/>
        <w:overflowPunct/>
        <w:topLinePunct w:val="0"/>
        <w:autoSpaceDE/>
        <w:autoSpaceDN/>
        <w:bidi w:val="0"/>
        <w:adjustRightInd/>
        <w:snapToGrid/>
        <w:spacing w:after="0" w:line="579" w:lineRule="exact"/>
        <w:ind w:left="0" w:leftChars="0"/>
        <w:textAlignment w:val="auto"/>
        <w:rPr>
          <w:rFonts w:hint="eastAsia" w:ascii="仿宋_GB2312" w:hAnsi="仿宋_GB2312" w:eastAsia="仿宋_GB2312" w:cs="仿宋_GB2312"/>
          <w:spacing w:val="6"/>
          <w:sz w:val="32"/>
          <w:lang w:val="en-US" w:eastAsia="zh-CN"/>
        </w:rPr>
      </w:pPr>
      <w:r>
        <w:rPr>
          <w:rFonts w:hint="eastAsia" w:ascii="仿宋_GB2312" w:hAnsi="仿宋_GB2312" w:eastAsia="仿宋_GB2312" w:cs="仿宋_GB2312"/>
          <w:spacing w:val="6"/>
          <w:sz w:val="32"/>
          <w:lang w:val="en-US" w:eastAsia="zh-CN"/>
        </w:rPr>
        <w:t>18.对取得注册会计师（CPA）、特许金融分析师（CFA）、金融风险管理师（FRM）、北美精算师（ASA）、中国精算师（FCAA）、英国特许注册会计师（ACCA）执业资格证书后在起步区金融系统全职工作满2年的金融从业人员，每人2万元一次性奖励。由所在金融机构代为申请，获取多个证书的不重复奖励。</w:t>
      </w:r>
    </w:p>
    <w:p>
      <w:pPr>
        <w:pStyle w:val="2"/>
        <w:keepNext w:val="0"/>
        <w:keepLines w:val="0"/>
        <w:pageBreakBefore w:val="0"/>
        <w:widowControl w:val="0"/>
        <w:kinsoku/>
        <w:overflowPunct/>
        <w:topLinePunct w:val="0"/>
        <w:autoSpaceDE/>
        <w:autoSpaceDN/>
        <w:bidi w:val="0"/>
        <w:adjustRightInd/>
        <w:snapToGrid/>
        <w:spacing w:after="0" w:line="579" w:lineRule="exact"/>
        <w:ind w:left="0" w:leftChars="0"/>
        <w:textAlignment w:val="auto"/>
        <w:rPr>
          <w:rFonts w:hint="eastAsia" w:ascii="黑体" w:hAnsi="黑体" w:eastAsia="黑体" w:cs="黑体"/>
          <w:spacing w:val="6"/>
          <w:sz w:val="32"/>
          <w:lang w:val="en-US" w:eastAsia="zh-CN"/>
        </w:rPr>
      </w:pPr>
      <w:r>
        <w:rPr>
          <w:rFonts w:hint="eastAsia" w:ascii="黑体" w:hAnsi="黑体" w:eastAsia="黑体" w:cs="黑体"/>
          <w:spacing w:val="6"/>
          <w:sz w:val="32"/>
          <w:lang w:val="en-US" w:eastAsia="zh-CN"/>
        </w:rPr>
        <w:t>七、支持金融创新发展</w:t>
      </w:r>
    </w:p>
    <w:p>
      <w:pPr>
        <w:pStyle w:val="2"/>
        <w:keepNext w:val="0"/>
        <w:keepLines w:val="0"/>
        <w:pageBreakBefore w:val="0"/>
        <w:widowControl w:val="0"/>
        <w:kinsoku/>
        <w:overflowPunct/>
        <w:topLinePunct w:val="0"/>
        <w:autoSpaceDE/>
        <w:autoSpaceDN/>
        <w:bidi w:val="0"/>
        <w:adjustRightInd/>
        <w:snapToGrid/>
        <w:spacing w:after="0" w:line="579" w:lineRule="exact"/>
        <w:ind w:left="0" w:leftChars="0"/>
        <w:textAlignment w:val="auto"/>
        <w:rPr>
          <w:rFonts w:hint="eastAsia" w:ascii="仿宋_GB2312" w:hAnsi="仿宋_GB2312" w:eastAsia="仿宋_GB2312" w:cs="仿宋_GB2312"/>
          <w:spacing w:val="6"/>
          <w:sz w:val="32"/>
          <w:lang w:val="en-US" w:eastAsia="zh-CN"/>
        </w:rPr>
      </w:pPr>
      <w:r>
        <w:rPr>
          <w:rFonts w:hint="eastAsia" w:ascii="仿宋_GB2312" w:hAnsi="仿宋_GB2312" w:eastAsia="仿宋_GB2312" w:cs="仿宋_GB2312"/>
          <w:spacing w:val="6"/>
          <w:sz w:val="32"/>
          <w:lang w:val="en-US" w:eastAsia="zh-CN"/>
        </w:rPr>
        <w:t>19.支持金融标准制定。对主持制定国家、行业、地方科创金融相关技术或应用标准的企业或机构，分别给予100万元、50万元、30万元奖励。对主持、参与相关国际标准制定的分别最高给予150万元、20万元奖励。</w:t>
      </w:r>
    </w:p>
    <w:p>
      <w:pPr>
        <w:pStyle w:val="2"/>
        <w:keepNext w:val="0"/>
        <w:keepLines w:val="0"/>
        <w:pageBreakBefore w:val="0"/>
        <w:widowControl w:val="0"/>
        <w:kinsoku/>
        <w:overflowPunct/>
        <w:topLinePunct w:val="0"/>
        <w:autoSpaceDE/>
        <w:autoSpaceDN/>
        <w:bidi w:val="0"/>
        <w:adjustRightInd/>
        <w:snapToGrid/>
        <w:spacing w:after="0" w:line="579" w:lineRule="exact"/>
        <w:ind w:left="0" w:leftChars="0"/>
        <w:textAlignment w:val="auto"/>
        <w:rPr>
          <w:rFonts w:hint="eastAsia" w:ascii="仿宋_GB2312" w:hAnsi="仿宋_GB2312" w:eastAsia="仿宋_GB2312" w:cs="仿宋_GB2312"/>
          <w:spacing w:val="6"/>
          <w:sz w:val="32"/>
          <w:lang w:val="en-US" w:eastAsia="zh-CN"/>
        </w:rPr>
      </w:pPr>
      <w:r>
        <w:rPr>
          <w:rFonts w:hint="eastAsia" w:ascii="仿宋_GB2312" w:hAnsi="仿宋_GB2312" w:eastAsia="仿宋_GB2312" w:cs="仿宋_GB2312"/>
          <w:spacing w:val="6"/>
          <w:sz w:val="32"/>
          <w:lang w:val="en-US" w:eastAsia="zh-CN"/>
        </w:rPr>
        <w:t>20.鼓励使用科技金融平台。对科技金融服务平台帮助企业获得的债权融资、股权融资及其他融资，按照融资金额给予梯度奖励，融资金额在1亿元以上15亿元以内的按融资金额的0.3%对平台进行奖励，融资金额超出15亿元部分按融资金额的0.2%对平台进行奖励，最高奖励金额不超过1000万元。</w:t>
      </w:r>
    </w:p>
    <w:p>
      <w:pPr>
        <w:pStyle w:val="2"/>
        <w:keepNext w:val="0"/>
        <w:keepLines w:val="0"/>
        <w:pageBreakBefore w:val="0"/>
        <w:widowControl w:val="0"/>
        <w:kinsoku/>
        <w:overflowPunct/>
        <w:topLinePunct w:val="0"/>
        <w:autoSpaceDE/>
        <w:autoSpaceDN/>
        <w:bidi w:val="0"/>
        <w:adjustRightInd/>
        <w:snapToGrid/>
        <w:spacing w:after="0" w:line="579" w:lineRule="exact"/>
        <w:ind w:left="0" w:leftChars="0"/>
        <w:textAlignment w:val="auto"/>
        <w:rPr>
          <w:rFonts w:hint="eastAsia" w:ascii="仿宋_GB2312" w:hAnsi="仿宋_GB2312" w:eastAsia="仿宋_GB2312" w:cs="仿宋_GB2312"/>
          <w:spacing w:val="6"/>
          <w:sz w:val="32"/>
          <w:lang w:val="en-US" w:eastAsia="zh-CN"/>
        </w:rPr>
      </w:pPr>
      <w:r>
        <w:rPr>
          <w:rFonts w:hint="eastAsia" w:ascii="仿宋_GB2312" w:hAnsi="仿宋_GB2312" w:eastAsia="仿宋_GB2312" w:cs="仿宋_GB2312"/>
          <w:spacing w:val="6"/>
          <w:sz w:val="32"/>
          <w:lang w:val="en-US" w:eastAsia="zh-CN"/>
        </w:rPr>
        <w:t>21.大力发展绿色金融，支持绿色低碳发展。积极推动银行业金融机构加快设立各类绿色金融专营机构、大力引进各类绿色金融专业服务机构。对设立绿色分行的，给予一次性奖励600万元；对设立绿色支行、绿色金融事业部（业务中心）等绿色金融专营机构的，给予一次性奖励100万元。</w:t>
      </w:r>
    </w:p>
    <w:p>
      <w:pPr>
        <w:pStyle w:val="2"/>
        <w:keepNext w:val="0"/>
        <w:keepLines w:val="0"/>
        <w:pageBreakBefore w:val="0"/>
        <w:widowControl w:val="0"/>
        <w:kinsoku/>
        <w:overflowPunct/>
        <w:topLinePunct w:val="0"/>
        <w:autoSpaceDE/>
        <w:autoSpaceDN/>
        <w:bidi w:val="0"/>
        <w:adjustRightInd/>
        <w:snapToGrid/>
        <w:spacing w:after="0" w:line="579" w:lineRule="exact"/>
        <w:ind w:left="0" w:leftChars="0"/>
        <w:textAlignment w:val="auto"/>
        <w:rPr>
          <w:rFonts w:hint="eastAsia" w:ascii="仿宋_GB2312" w:hAnsi="仿宋_GB2312" w:eastAsia="仿宋_GB2312" w:cs="仿宋_GB2312"/>
          <w:spacing w:val="6"/>
          <w:sz w:val="32"/>
          <w:lang w:val="en-US" w:eastAsia="zh-CN"/>
        </w:rPr>
      </w:pPr>
      <w:r>
        <w:rPr>
          <w:rFonts w:hint="eastAsia" w:ascii="仿宋_GB2312" w:hAnsi="仿宋_GB2312" w:eastAsia="仿宋_GB2312" w:cs="仿宋_GB2312"/>
          <w:spacing w:val="6"/>
          <w:sz w:val="32"/>
          <w:lang w:val="en-US" w:eastAsia="zh-CN"/>
        </w:rPr>
        <w:t>22.鼓励金融机构设立科技金融机构。对经金融监管部门认定的新设立或升级改造的科技支行（公司）等科技金融机构（含政策发布前设立的机构），在享受市级奖补的基础上，另行给予10万元一次性补助；第二年开始对各机构的科创业务开展情况进行评估，符合科技金融机构评估标准的，在享受市级奖补的基础上，连续两年每年另行给予5万元补助。</w:t>
      </w:r>
    </w:p>
    <w:p>
      <w:pPr>
        <w:pStyle w:val="2"/>
        <w:keepNext w:val="0"/>
        <w:keepLines w:val="0"/>
        <w:pageBreakBefore w:val="0"/>
        <w:widowControl w:val="0"/>
        <w:kinsoku/>
        <w:overflowPunct/>
        <w:topLinePunct w:val="0"/>
        <w:autoSpaceDE/>
        <w:autoSpaceDN/>
        <w:bidi w:val="0"/>
        <w:adjustRightInd/>
        <w:snapToGrid/>
        <w:spacing w:after="0" w:line="579" w:lineRule="exact"/>
        <w:ind w:left="0" w:leftChars="0"/>
        <w:textAlignment w:val="auto"/>
        <w:rPr>
          <w:rFonts w:hint="eastAsia" w:ascii="黑体" w:hAnsi="黑体" w:eastAsia="黑体" w:cs="黑体"/>
          <w:spacing w:val="6"/>
          <w:sz w:val="32"/>
          <w:lang w:val="en-US" w:eastAsia="zh-CN"/>
        </w:rPr>
      </w:pPr>
      <w:r>
        <w:rPr>
          <w:rFonts w:hint="eastAsia" w:ascii="黑体" w:hAnsi="黑体" w:eastAsia="黑体" w:cs="黑体"/>
          <w:spacing w:val="6"/>
          <w:sz w:val="32"/>
          <w:lang w:val="en-US" w:eastAsia="zh-CN"/>
        </w:rPr>
        <w:t>八、优化金融发展环境</w:t>
      </w:r>
    </w:p>
    <w:p>
      <w:pPr>
        <w:pStyle w:val="2"/>
        <w:keepNext w:val="0"/>
        <w:keepLines w:val="0"/>
        <w:pageBreakBefore w:val="0"/>
        <w:widowControl w:val="0"/>
        <w:kinsoku/>
        <w:overflowPunct/>
        <w:topLinePunct w:val="0"/>
        <w:autoSpaceDE/>
        <w:autoSpaceDN/>
        <w:bidi w:val="0"/>
        <w:adjustRightInd/>
        <w:snapToGrid/>
        <w:spacing w:after="0" w:line="579" w:lineRule="exact"/>
        <w:ind w:left="0" w:leftChars="0"/>
        <w:textAlignment w:val="auto"/>
        <w:rPr>
          <w:rFonts w:hint="eastAsia" w:ascii="仿宋_GB2312" w:hAnsi="仿宋_GB2312" w:eastAsia="仿宋_GB2312" w:cs="仿宋_GB2312"/>
          <w:spacing w:val="6"/>
          <w:sz w:val="32"/>
          <w:lang w:val="en-US" w:eastAsia="zh-CN"/>
        </w:rPr>
      </w:pPr>
      <w:r>
        <w:rPr>
          <w:rFonts w:hint="eastAsia" w:ascii="仿宋_GB2312" w:hAnsi="仿宋_GB2312" w:eastAsia="仿宋_GB2312" w:cs="仿宋_GB2312"/>
          <w:spacing w:val="6"/>
          <w:sz w:val="32"/>
          <w:lang w:val="en-US" w:eastAsia="zh-CN"/>
        </w:rPr>
        <w:t>23.优化金融服务环境。设立起步区与金融企业对接工作专班，加大统筹协调力度，建立服务机制，在金融企业落户、发展、政策兑现等方面提供优质、便捷、高效、全面的服务。同时，管委会相关部门、单位、街办要开放企业资源和项目资源，实现金融与实体经济融合发展。</w:t>
      </w:r>
    </w:p>
    <w:p>
      <w:pPr>
        <w:pStyle w:val="2"/>
        <w:keepNext w:val="0"/>
        <w:keepLines w:val="0"/>
        <w:pageBreakBefore w:val="0"/>
        <w:widowControl w:val="0"/>
        <w:kinsoku/>
        <w:overflowPunct/>
        <w:topLinePunct w:val="0"/>
        <w:autoSpaceDE/>
        <w:autoSpaceDN/>
        <w:bidi w:val="0"/>
        <w:adjustRightInd/>
        <w:snapToGrid/>
        <w:spacing w:after="0" w:line="579" w:lineRule="exact"/>
        <w:ind w:left="0" w:leftChars="0"/>
        <w:textAlignment w:val="auto"/>
        <w:rPr>
          <w:rFonts w:hint="eastAsia" w:ascii="仿宋_GB2312" w:hAnsi="仿宋_GB2312" w:eastAsia="仿宋_GB2312" w:cs="仿宋_GB2312"/>
          <w:spacing w:val="6"/>
          <w:sz w:val="32"/>
          <w:lang w:val="en-US" w:eastAsia="zh-CN"/>
        </w:rPr>
      </w:pPr>
      <w:r>
        <w:rPr>
          <w:rFonts w:hint="eastAsia" w:ascii="仿宋_GB2312" w:hAnsi="仿宋_GB2312" w:eastAsia="仿宋_GB2312" w:cs="仿宋_GB2312"/>
          <w:spacing w:val="6"/>
          <w:sz w:val="32"/>
          <w:lang w:val="en-US" w:eastAsia="zh-CN"/>
        </w:rPr>
        <w:t>24.支持金融产品与服务创新。支持在起步区设立和引进专业化科创金融机构，为科技创新型企业提供全方位、全周期的综合金融服务。支持金融机构为起步区内建筑、能源、科技、文化、绿色环保、乡村振兴等领域企业提供高效优质金融服务，为“轻资产”服务贸易企业提供融资便利等。</w:t>
      </w:r>
    </w:p>
    <w:p>
      <w:pPr>
        <w:pStyle w:val="2"/>
        <w:keepNext w:val="0"/>
        <w:keepLines w:val="0"/>
        <w:pageBreakBefore w:val="0"/>
        <w:widowControl w:val="0"/>
        <w:kinsoku/>
        <w:overflowPunct/>
        <w:topLinePunct w:val="0"/>
        <w:autoSpaceDE/>
        <w:autoSpaceDN/>
        <w:bidi w:val="0"/>
        <w:adjustRightInd/>
        <w:snapToGrid/>
        <w:spacing w:after="0" w:line="579" w:lineRule="exact"/>
        <w:ind w:left="0" w:leftChars="0"/>
        <w:textAlignment w:val="auto"/>
        <w:rPr>
          <w:rFonts w:hint="eastAsia" w:ascii="仿宋_GB2312" w:hAnsi="仿宋_GB2312" w:eastAsia="仿宋_GB2312" w:cs="仿宋_GB2312"/>
          <w:spacing w:val="6"/>
          <w:sz w:val="32"/>
          <w:lang w:val="en-US" w:eastAsia="zh-CN"/>
        </w:rPr>
      </w:pPr>
      <w:r>
        <w:rPr>
          <w:rFonts w:hint="eastAsia" w:ascii="仿宋_GB2312" w:hAnsi="仿宋_GB2312" w:eastAsia="仿宋_GB2312" w:cs="仿宋_GB2312"/>
          <w:spacing w:val="6"/>
          <w:sz w:val="32"/>
          <w:lang w:val="en-US" w:eastAsia="zh-CN"/>
        </w:rPr>
        <w:t>25.金融招商奖励。对引进重大、优质金融类项目的第三方机构或个人（公职人员除外），最高给予单个项目50万元的招商奖励。</w:t>
      </w:r>
    </w:p>
    <w:p>
      <w:pPr>
        <w:pStyle w:val="2"/>
        <w:keepNext w:val="0"/>
        <w:keepLines w:val="0"/>
        <w:pageBreakBefore w:val="0"/>
        <w:widowControl w:val="0"/>
        <w:kinsoku/>
        <w:overflowPunct/>
        <w:topLinePunct w:val="0"/>
        <w:autoSpaceDE/>
        <w:autoSpaceDN/>
        <w:bidi w:val="0"/>
        <w:adjustRightInd/>
        <w:snapToGrid/>
        <w:spacing w:after="0" w:line="579" w:lineRule="exact"/>
        <w:ind w:left="0" w:leftChars="0"/>
        <w:textAlignment w:val="auto"/>
        <w:rPr>
          <w:rFonts w:hint="eastAsia" w:ascii="仿宋_GB2312" w:hAnsi="仿宋_GB2312" w:eastAsia="仿宋_GB2312" w:cs="仿宋_GB2312"/>
          <w:spacing w:val="6"/>
          <w:sz w:val="32"/>
          <w:lang w:val="en-US" w:eastAsia="zh-CN"/>
        </w:rPr>
      </w:pPr>
      <w:r>
        <w:rPr>
          <w:rFonts w:hint="eastAsia" w:ascii="仿宋_GB2312" w:hAnsi="仿宋_GB2312" w:eastAsia="仿宋_GB2312" w:cs="仿宋_GB2312"/>
          <w:spacing w:val="6"/>
          <w:sz w:val="32"/>
          <w:lang w:val="en-US" w:eastAsia="zh-CN"/>
        </w:rPr>
        <w:t>26.坚持创新发展与加强风险防范相平衡。坚持创新引领发展，鼓励优质金融资源引进；健全金融监管和风险防控体系，提升主动防范化解风险能力，守住不发生系统性金融风险底线。</w:t>
      </w:r>
    </w:p>
    <w:p>
      <w:pPr>
        <w:pStyle w:val="2"/>
        <w:keepNext w:val="0"/>
        <w:keepLines w:val="0"/>
        <w:pageBreakBefore w:val="0"/>
        <w:widowControl w:val="0"/>
        <w:kinsoku/>
        <w:overflowPunct/>
        <w:topLinePunct w:val="0"/>
        <w:autoSpaceDE/>
        <w:autoSpaceDN/>
        <w:bidi w:val="0"/>
        <w:adjustRightInd/>
        <w:snapToGrid/>
        <w:spacing w:after="0" w:line="579" w:lineRule="exact"/>
        <w:ind w:left="0" w:leftChars="0"/>
        <w:textAlignment w:val="auto"/>
        <w:rPr>
          <w:rFonts w:hint="eastAsia" w:ascii="黑体" w:hAnsi="黑体" w:eastAsia="黑体" w:cs="黑体"/>
          <w:spacing w:val="6"/>
          <w:sz w:val="32"/>
          <w:lang w:val="en-US" w:eastAsia="zh-CN"/>
        </w:rPr>
      </w:pPr>
      <w:r>
        <w:rPr>
          <w:rFonts w:hint="eastAsia" w:ascii="黑体" w:hAnsi="黑体" w:eastAsia="黑体" w:cs="黑体"/>
          <w:spacing w:val="6"/>
          <w:sz w:val="32"/>
          <w:lang w:val="en-US" w:eastAsia="zh-CN"/>
        </w:rPr>
        <w:t>九、说明事项</w:t>
      </w:r>
    </w:p>
    <w:p>
      <w:pPr>
        <w:pStyle w:val="2"/>
        <w:keepNext w:val="0"/>
        <w:keepLines w:val="0"/>
        <w:pageBreakBefore w:val="0"/>
        <w:widowControl w:val="0"/>
        <w:kinsoku/>
        <w:overflowPunct/>
        <w:topLinePunct w:val="0"/>
        <w:autoSpaceDE/>
        <w:autoSpaceDN/>
        <w:bidi w:val="0"/>
        <w:adjustRightInd/>
        <w:snapToGrid/>
        <w:spacing w:after="0" w:line="579" w:lineRule="exact"/>
        <w:ind w:left="0" w:leftChars="0"/>
        <w:textAlignment w:val="auto"/>
        <w:rPr>
          <w:rFonts w:hint="eastAsia" w:ascii="仿宋_GB2312" w:hAnsi="仿宋_GB2312" w:eastAsia="仿宋_GB2312" w:cs="仿宋_GB2312"/>
          <w:spacing w:val="6"/>
          <w:sz w:val="32"/>
          <w:lang w:val="en-US" w:eastAsia="zh-CN"/>
        </w:rPr>
      </w:pPr>
      <w:r>
        <w:rPr>
          <w:rFonts w:hint="eastAsia" w:ascii="仿宋_GB2312" w:hAnsi="仿宋_GB2312" w:eastAsia="仿宋_GB2312" w:cs="仿宋_GB2312"/>
          <w:spacing w:val="6"/>
          <w:sz w:val="32"/>
          <w:lang w:val="en-US" w:eastAsia="zh-CN"/>
        </w:rPr>
        <w:t>（一）本政策支持对象为营业执照注册地、税收征管关系和统计关系均在济南新旧动能转换起步区直管区（根据区划调整确定具体区域）的企业。</w:t>
      </w:r>
    </w:p>
    <w:p>
      <w:pPr>
        <w:pStyle w:val="2"/>
        <w:keepNext w:val="0"/>
        <w:keepLines w:val="0"/>
        <w:pageBreakBefore w:val="0"/>
        <w:widowControl w:val="0"/>
        <w:kinsoku/>
        <w:overflowPunct/>
        <w:topLinePunct w:val="0"/>
        <w:autoSpaceDE/>
        <w:autoSpaceDN/>
        <w:bidi w:val="0"/>
        <w:adjustRightInd/>
        <w:snapToGrid/>
        <w:spacing w:after="0" w:line="579" w:lineRule="exact"/>
        <w:ind w:left="0" w:leftChars="0"/>
        <w:textAlignment w:val="auto"/>
        <w:rPr>
          <w:rFonts w:hint="eastAsia" w:ascii="仿宋_GB2312" w:hAnsi="仿宋_GB2312" w:eastAsia="仿宋_GB2312" w:cs="仿宋_GB2312"/>
          <w:spacing w:val="6"/>
          <w:sz w:val="32"/>
          <w:lang w:val="en-US" w:eastAsia="zh-CN"/>
        </w:rPr>
      </w:pPr>
      <w:r>
        <w:rPr>
          <w:rFonts w:hint="eastAsia" w:ascii="仿宋_GB2312" w:hAnsi="仿宋_GB2312" w:eastAsia="仿宋_GB2312" w:cs="仿宋_GB2312"/>
          <w:spacing w:val="6"/>
          <w:sz w:val="32"/>
          <w:lang w:val="en-US" w:eastAsia="zh-CN"/>
        </w:rPr>
        <w:t>（二）本政策奖励可由企业根据实际需要用于金融企业高级管理人员、骨干团队激励，及企业经营发展。申报企业及个人采取弄虚作假等手段骗取奖励的，应退回已获得的奖补资金，有关涉税支出均由企业或个人承担。</w:t>
      </w:r>
    </w:p>
    <w:p>
      <w:pPr>
        <w:pStyle w:val="2"/>
        <w:keepNext w:val="0"/>
        <w:keepLines w:val="0"/>
        <w:pageBreakBefore w:val="0"/>
        <w:widowControl w:val="0"/>
        <w:kinsoku/>
        <w:overflowPunct/>
        <w:topLinePunct w:val="0"/>
        <w:autoSpaceDE/>
        <w:autoSpaceDN/>
        <w:bidi w:val="0"/>
        <w:adjustRightInd/>
        <w:snapToGrid/>
        <w:spacing w:after="0" w:line="579" w:lineRule="exact"/>
        <w:ind w:left="0" w:leftChars="0"/>
        <w:textAlignment w:val="auto"/>
        <w:rPr>
          <w:rFonts w:hint="eastAsia" w:ascii="仿宋_GB2312" w:hAnsi="仿宋_GB2312" w:eastAsia="仿宋_GB2312" w:cs="仿宋_GB2312"/>
          <w:spacing w:val="6"/>
          <w:sz w:val="32"/>
          <w:lang w:val="en-US" w:eastAsia="zh-CN"/>
        </w:rPr>
      </w:pPr>
      <w:r>
        <w:rPr>
          <w:rFonts w:hint="eastAsia" w:ascii="仿宋_GB2312" w:hAnsi="仿宋_GB2312" w:eastAsia="仿宋_GB2312" w:cs="仿宋_GB2312"/>
          <w:spacing w:val="6"/>
          <w:sz w:val="32"/>
          <w:lang w:val="en-US" w:eastAsia="zh-CN"/>
        </w:rPr>
        <w:t>（三）对于管委会已与合作方签订合作协议，且存在与本政策所列事项同一类事项的，按照协议条款执行，不重复奖补。</w:t>
      </w:r>
    </w:p>
    <w:p>
      <w:pPr>
        <w:pStyle w:val="2"/>
        <w:keepNext w:val="0"/>
        <w:keepLines w:val="0"/>
        <w:pageBreakBefore w:val="0"/>
        <w:widowControl w:val="0"/>
        <w:kinsoku/>
        <w:overflowPunct/>
        <w:topLinePunct w:val="0"/>
        <w:autoSpaceDE/>
        <w:autoSpaceDN/>
        <w:bidi w:val="0"/>
        <w:adjustRightInd/>
        <w:snapToGrid/>
        <w:spacing w:after="0" w:line="579" w:lineRule="exact"/>
        <w:ind w:left="0" w:leftChars="0"/>
        <w:textAlignment w:val="auto"/>
        <w:rPr>
          <w:rFonts w:hint="eastAsia" w:ascii="仿宋_GB2312" w:hAnsi="仿宋_GB2312" w:eastAsia="仿宋_GB2312" w:cs="仿宋_GB2312"/>
          <w:spacing w:val="6"/>
          <w:sz w:val="32"/>
          <w:lang w:val="en-US" w:eastAsia="zh-CN"/>
        </w:rPr>
      </w:pPr>
      <w:r>
        <w:rPr>
          <w:rFonts w:hint="eastAsia" w:ascii="仿宋_GB2312" w:hAnsi="仿宋_GB2312" w:eastAsia="仿宋_GB2312" w:cs="仿宋_GB2312"/>
          <w:spacing w:val="6"/>
          <w:sz w:val="32"/>
          <w:lang w:val="en-US" w:eastAsia="zh-CN"/>
        </w:rPr>
        <w:t>（四）本政策自2024年1月1日起施行，有效期至2025年12月31日。如国家、省市调整相关政策，按调整后的政策执行。政策措施由区财政金融部负责解释实施，并制定相应实施细则。</w:t>
      </w:r>
    </w:p>
    <w:p>
      <w:pPr>
        <w:spacing w:line="600" w:lineRule="exact"/>
        <w:ind w:firstLine="210" w:firstLineChars="100"/>
        <w:jc w:val="left"/>
        <w:rPr>
          <w:rFonts w:hint="eastAsia"/>
          <w:lang w:val="en-US" w:eastAsia="zh-CN"/>
        </w:rPr>
      </w:pPr>
      <w:bookmarkStart w:id="0" w:name="_GoBack"/>
      <w:bookmarkEnd w:id="0"/>
    </w:p>
    <w:sectPr>
      <w:footerReference r:id="rId3" w:type="default"/>
      <w:pgSz w:w="11906" w:h="16838"/>
      <w:pgMar w:top="2098" w:right="1474" w:bottom="1984" w:left="1587"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宋体" w:hAnsi="宋体" w:eastAsia="宋体" w:cs="宋体"/>
                              <w:sz w:val="28"/>
                              <w:szCs w:val="44"/>
                              <w:lang w:eastAsia="zh-CN"/>
                            </w:rPr>
                          </w:pPr>
                          <w:r>
                            <w:rPr>
                              <w:rFonts w:hint="eastAsia" w:ascii="宋体" w:hAnsi="宋体" w:eastAsia="宋体" w:cs="宋体"/>
                              <w:sz w:val="28"/>
                              <w:szCs w:val="44"/>
                              <w:lang w:eastAsia="zh-CN"/>
                            </w:rPr>
                            <w:t xml:space="preserve">— </w:t>
                          </w:r>
                          <w:r>
                            <w:rPr>
                              <w:rFonts w:hint="eastAsia" w:ascii="宋体" w:hAnsi="宋体" w:eastAsia="宋体" w:cs="宋体"/>
                              <w:sz w:val="28"/>
                              <w:szCs w:val="44"/>
                              <w:lang w:eastAsia="zh-CN"/>
                            </w:rPr>
                            <w:fldChar w:fldCharType="begin"/>
                          </w:r>
                          <w:r>
                            <w:rPr>
                              <w:rFonts w:hint="eastAsia" w:ascii="宋体" w:hAnsi="宋体" w:eastAsia="宋体" w:cs="宋体"/>
                              <w:sz w:val="28"/>
                              <w:szCs w:val="44"/>
                              <w:lang w:eastAsia="zh-CN"/>
                            </w:rPr>
                            <w:instrText xml:space="preserve"> PAGE  \* MERGEFORMAT </w:instrText>
                          </w:r>
                          <w:r>
                            <w:rPr>
                              <w:rFonts w:hint="eastAsia" w:ascii="宋体" w:hAnsi="宋体" w:eastAsia="宋体" w:cs="宋体"/>
                              <w:sz w:val="28"/>
                              <w:szCs w:val="44"/>
                              <w:lang w:eastAsia="zh-CN"/>
                            </w:rPr>
                            <w:fldChar w:fldCharType="separate"/>
                          </w:r>
                          <w:r>
                            <w:rPr>
                              <w:rFonts w:hint="eastAsia" w:ascii="宋体" w:hAnsi="宋体" w:eastAsia="宋体" w:cs="宋体"/>
                              <w:sz w:val="28"/>
                              <w:szCs w:val="44"/>
                              <w:lang w:eastAsia="zh-CN"/>
                            </w:rPr>
                            <w:t>- 1 -</w:t>
                          </w:r>
                          <w:r>
                            <w:rPr>
                              <w:rFonts w:hint="eastAsia" w:ascii="宋体" w:hAnsi="宋体" w:eastAsia="宋体" w:cs="宋体"/>
                              <w:sz w:val="28"/>
                              <w:szCs w:val="44"/>
                              <w:lang w:eastAsia="zh-CN"/>
                            </w:rPr>
                            <w:fldChar w:fldCharType="end"/>
                          </w:r>
                          <w:r>
                            <w:rPr>
                              <w:rFonts w:hint="eastAsia" w:ascii="宋体" w:hAnsi="宋体" w:eastAsia="宋体" w:cs="宋体"/>
                              <w:sz w:val="28"/>
                              <w:szCs w:val="44"/>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ascii="宋体" w:hAnsi="宋体" w:eastAsia="宋体" w:cs="宋体"/>
                        <w:sz w:val="28"/>
                        <w:szCs w:val="44"/>
                        <w:lang w:eastAsia="zh-CN"/>
                      </w:rPr>
                    </w:pPr>
                    <w:r>
                      <w:rPr>
                        <w:rFonts w:hint="eastAsia" w:ascii="宋体" w:hAnsi="宋体" w:eastAsia="宋体" w:cs="宋体"/>
                        <w:sz w:val="28"/>
                        <w:szCs w:val="44"/>
                        <w:lang w:eastAsia="zh-CN"/>
                      </w:rPr>
                      <w:t xml:space="preserve">— </w:t>
                    </w:r>
                    <w:r>
                      <w:rPr>
                        <w:rFonts w:hint="eastAsia" w:ascii="宋体" w:hAnsi="宋体" w:eastAsia="宋体" w:cs="宋体"/>
                        <w:sz w:val="28"/>
                        <w:szCs w:val="44"/>
                        <w:lang w:eastAsia="zh-CN"/>
                      </w:rPr>
                      <w:fldChar w:fldCharType="begin"/>
                    </w:r>
                    <w:r>
                      <w:rPr>
                        <w:rFonts w:hint="eastAsia" w:ascii="宋体" w:hAnsi="宋体" w:eastAsia="宋体" w:cs="宋体"/>
                        <w:sz w:val="28"/>
                        <w:szCs w:val="44"/>
                        <w:lang w:eastAsia="zh-CN"/>
                      </w:rPr>
                      <w:instrText xml:space="preserve"> PAGE  \* MERGEFORMAT </w:instrText>
                    </w:r>
                    <w:r>
                      <w:rPr>
                        <w:rFonts w:hint="eastAsia" w:ascii="宋体" w:hAnsi="宋体" w:eastAsia="宋体" w:cs="宋体"/>
                        <w:sz w:val="28"/>
                        <w:szCs w:val="44"/>
                        <w:lang w:eastAsia="zh-CN"/>
                      </w:rPr>
                      <w:fldChar w:fldCharType="separate"/>
                    </w:r>
                    <w:r>
                      <w:rPr>
                        <w:rFonts w:hint="eastAsia" w:ascii="宋体" w:hAnsi="宋体" w:eastAsia="宋体" w:cs="宋体"/>
                        <w:sz w:val="28"/>
                        <w:szCs w:val="44"/>
                        <w:lang w:eastAsia="zh-CN"/>
                      </w:rPr>
                      <w:t>- 1 -</w:t>
                    </w:r>
                    <w:r>
                      <w:rPr>
                        <w:rFonts w:hint="eastAsia" w:ascii="宋体" w:hAnsi="宋体" w:eastAsia="宋体" w:cs="宋体"/>
                        <w:sz w:val="28"/>
                        <w:szCs w:val="44"/>
                        <w:lang w:eastAsia="zh-CN"/>
                      </w:rPr>
                      <w:fldChar w:fldCharType="end"/>
                    </w:r>
                    <w:r>
                      <w:rPr>
                        <w:rFonts w:hint="eastAsia" w:ascii="宋体" w:hAnsi="宋体" w:eastAsia="宋体" w:cs="宋体"/>
                        <w:sz w:val="28"/>
                        <w:szCs w:val="44"/>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MzMDRmYmUyOTMxYTYxYTRiZmI0OGFlOTY0MmM4NmYifQ=="/>
  </w:docVars>
  <w:rsids>
    <w:rsidRoot w:val="6F6053C9"/>
    <w:rsid w:val="03792095"/>
    <w:rsid w:val="037D77F1"/>
    <w:rsid w:val="041B2441"/>
    <w:rsid w:val="09BC59C4"/>
    <w:rsid w:val="0D40009C"/>
    <w:rsid w:val="0EBE1B2A"/>
    <w:rsid w:val="11984340"/>
    <w:rsid w:val="12F23EB8"/>
    <w:rsid w:val="15271CA0"/>
    <w:rsid w:val="16916FBF"/>
    <w:rsid w:val="181A4A3C"/>
    <w:rsid w:val="1AAC72D9"/>
    <w:rsid w:val="1E405601"/>
    <w:rsid w:val="1F710E32"/>
    <w:rsid w:val="266A6FDF"/>
    <w:rsid w:val="272462F2"/>
    <w:rsid w:val="2728014B"/>
    <w:rsid w:val="2C675170"/>
    <w:rsid w:val="2D087222"/>
    <w:rsid w:val="31C81329"/>
    <w:rsid w:val="347A2CEE"/>
    <w:rsid w:val="38CB2126"/>
    <w:rsid w:val="3D4F04F0"/>
    <w:rsid w:val="3F165ACD"/>
    <w:rsid w:val="3F302C55"/>
    <w:rsid w:val="425A03C6"/>
    <w:rsid w:val="42C86F85"/>
    <w:rsid w:val="43C83303"/>
    <w:rsid w:val="46876387"/>
    <w:rsid w:val="46FF153C"/>
    <w:rsid w:val="4883687E"/>
    <w:rsid w:val="4885728E"/>
    <w:rsid w:val="4CBD11A3"/>
    <w:rsid w:val="4F5B20FC"/>
    <w:rsid w:val="50491953"/>
    <w:rsid w:val="50903612"/>
    <w:rsid w:val="50C66F45"/>
    <w:rsid w:val="515C63EF"/>
    <w:rsid w:val="565E018E"/>
    <w:rsid w:val="56B22D46"/>
    <w:rsid w:val="588C3D6A"/>
    <w:rsid w:val="5AA962CE"/>
    <w:rsid w:val="5C0E7968"/>
    <w:rsid w:val="5C965957"/>
    <w:rsid w:val="5D3D64C3"/>
    <w:rsid w:val="603A27F7"/>
    <w:rsid w:val="60A92D56"/>
    <w:rsid w:val="617F3A70"/>
    <w:rsid w:val="61D32D57"/>
    <w:rsid w:val="644D4B19"/>
    <w:rsid w:val="67323F9D"/>
    <w:rsid w:val="6A885FCB"/>
    <w:rsid w:val="6D562076"/>
    <w:rsid w:val="6E773235"/>
    <w:rsid w:val="6ED84B71"/>
    <w:rsid w:val="6F6053C9"/>
    <w:rsid w:val="6FDD60A6"/>
    <w:rsid w:val="742D4703"/>
    <w:rsid w:val="74F401D8"/>
    <w:rsid w:val="79FB5918"/>
    <w:rsid w:val="7A33486D"/>
    <w:rsid w:val="7A434032"/>
    <w:rsid w:val="7FE320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next w:val="1"/>
    <w:qFormat/>
    <w:uiPriority w:val="0"/>
    <w:pPr>
      <w:widowControl w:val="0"/>
      <w:spacing w:after="120"/>
      <w:ind w:left="420" w:leftChars="200" w:firstLine="420" w:firstLineChars="200"/>
      <w:jc w:val="both"/>
    </w:pPr>
    <w:rPr>
      <w:rFonts w:eastAsia="宋体" w:asciiTheme="minorHAnsi" w:hAnsiTheme="minorHAnsi" w:cstheme="minorBidi"/>
      <w:kern w:val="2"/>
      <w:sz w:val="21"/>
      <w:szCs w:val="21"/>
      <w:lang w:val="en-US" w:eastAsia="zh-CN" w:bidi="ar-SA"/>
    </w:rPr>
  </w:style>
  <w:style w:type="paragraph" w:styleId="3">
    <w:name w:val="Body Text"/>
    <w:qFormat/>
    <w:uiPriority w:val="0"/>
    <w:pPr>
      <w:widowControl w:val="0"/>
      <w:jc w:val="center"/>
    </w:pPr>
    <w:rPr>
      <w:rFonts w:ascii="Times New Roman" w:hAnsi="Times New Roman" w:eastAsia="华文中宋" w:cs="Times New Roman"/>
      <w:b/>
      <w:kern w:val="2"/>
      <w:sz w:val="44"/>
      <w:szCs w:val="20"/>
      <w:lang w:val="en-US" w:eastAsia="zh-CN" w:bidi="ar-SA"/>
    </w:rPr>
  </w:style>
  <w:style w:type="paragraph" w:styleId="4">
    <w:name w:val="Body Text Indent"/>
    <w:qFormat/>
    <w:uiPriority w:val="0"/>
    <w:pPr>
      <w:widowControl w:val="0"/>
      <w:spacing w:line="560" w:lineRule="exact"/>
      <w:ind w:firstLine="640" w:firstLineChars="200"/>
      <w:jc w:val="both"/>
    </w:pPr>
    <w:rPr>
      <w:rFonts w:ascii="仿宋_GB2312" w:hAnsi="Times New Roman" w:eastAsia="宋体" w:cs="Times New Roman"/>
      <w:kern w:val="2"/>
      <w:sz w:val="21"/>
      <w:szCs w:val="24"/>
      <w:lang w:val="en-US" w:eastAsia="zh-CN" w:bidi="ar-SA"/>
    </w:rPr>
  </w:style>
  <w:style w:type="paragraph" w:styleId="5">
    <w:name w:val="Plain Text"/>
    <w:basedOn w:val="1"/>
    <w:qFormat/>
    <w:uiPriority w:val="0"/>
    <w:rPr>
      <w:rFonts w:ascii="宋体" w:hAnsi="Courier New"/>
    </w:rPr>
  </w:style>
  <w:style w:type="paragraph" w:styleId="6">
    <w:name w:val="footer"/>
    <w:basedOn w:val="1"/>
    <w:qFormat/>
    <w:uiPriority w:val="0"/>
    <w:pPr>
      <w:widowControl w:val="0"/>
      <w:tabs>
        <w:tab w:val="center" w:pos="4153"/>
        <w:tab w:val="right" w:pos="8306"/>
      </w:tabs>
      <w:snapToGrid w:val="0"/>
      <w:jc w:val="left"/>
    </w:pPr>
    <w:rPr>
      <w:rFonts w:ascii="Calibri" w:hAnsi="Calibri" w:eastAsia="宋体" w:cs="Times New Roman"/>
      <w:kern w:val="2"/>
      <w:sz w:val="18"/>
      <w:szCs w:val="24"/>
      <w:lang w:val="en-US" w:eastAsia="zh-CN" w:bidi="ar-SA"/>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10">
    <w:name w:val="Strong"/>
    <w:basedOn w:val="9"/>
    <w:qFormat/>
    <w:uiPriority w:val="0"/>
    <w:rPr>
      <w:b/>
    </w:rPr>
  </w:style>
  <w:style w:type="character" w:styleId="11">
    <w:name w:val="page number"/>
    <w:basedOn w:val="9"/>
    <w:qFormat/>
    <w:uiPriority w:val="0"/>
  </w:style>
  <w:style w:type="character" w:styleId="12">
    <w:name w:val="Hyperlink"/>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6327</Words>
  <Characters>6369</Characters>
  <Lines>0</Lines>
  <Paragraphs>0</Paragraphs>
  <TotalTime>7</TotalTime>
  <ScaleCrop>false</ScaleCrop>
  <LinksUpToDate>false</LinksUpToDate>
  <CharactersWithSpaces>6458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2020-02-19T11:32:00Z</dcterms:created>
  <dc:creator>随遇而安～</dc:creator>
  <cp:lastModifiedBy>Reus</cp:lastModifiedBy>
  <cp:lastPrinted>2023-06-21T08:09:00Z</cp:lastPrinted>
  <dcterms:modified xsi:type="dcterms:W3CDTF">2023-11-14T01:28:28Z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DF7B520CB9BE417AB7A2B1DC7BE533AF_13</vt:lpwstr>
  </property>
</Properties>
</file>