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b/>
          <w:bCs/>
        </w:rPr>
      </w:pPr>
      <w:bookmarkStart w:id="0" w:name="_Toc20294942"/>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bookmarkStart w:id="12" w:name="_GoBack"/>
      <w:bookmarkEnd w:id="12"/>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center"/>
        <w:rPr>
          <w:rFonts w:ascii="黑体" w:hAnsi="黑体" w:eastAsia="黑体"/>
          <w:b/>
          <w:bCs/>
          <w:sz w:val="56"/>
          <w:szCs w:val="56"/>
        </w:rPr>
      </w:pPr>
      <w:r>
        <w:rPr>
          <w:rFonts w:hint="eastAsia" w:ascii="黑体" w:hAnsi="黑体" w:eastAsia="黑体"/>
          <w:b/>
          <w:bCs/>
          <w:sz w:val="56"/>
          <w:szCs w:val="56"/>
        </w:rPr>
        <w:t>济南新旧动能转换起步区</w:t>
      </w:r>
    </w:p>
    <w:p>
      <w:pPr>
        <w:widowControl/>
        <w:spacing w:line="240" w:lineRule="auto"/>
        <w:ind w:firstLine="0" w:firstLineChars="0"/>
        <w:jc w:val="center"/>
        <w:rPr>
          <w:rFonts w:ascii="黑体" w:hAnsi="黑体" w:eastAsia="黑体"/>
          <w:b/>
          <w:bCs/>
          <w:sz w:val="56"/>
          <w:szCs w:val="56"/>
        </w:rPr>
      </w:pPr>
      <w:r>
        <w:rPr>
          <w:rFonts w:hint="eastAsia" w:ascii="黑体" w:hAnsi="黑体" w:eastAsia="黑体"/>
          <w:b/>
          <w:bCs/>
          <w:sz w:val="56"/>
          <w:szCs w:val="56"/>
        </w:rPr>
        <w:t>5G移动通信基础设施专项规划</w:t>
      </w:r>
    </w:p>
    <w:p>
      <w:pPr>
        <w:widowControl/>
        <w:spacing w:line="240" w:lineRule="auto"/>
        <w:ind w:firstLine="0" w:firstLineChars="0"/>
        <w:jc w:val="center"/>
        <w:rPr>
          <w:rFonts w:ascii="黑体" w:hAnsi="黑体" w:eastAsia="黑体"/>
          <w:sz w:val="44"/>
          <w:szCs w:val="44"/>
        </w:rPr>
      </w:pPr>
      <w:r>
        <w:rPr>
          <w:rFonts w:hint="eastAsia" w:ascii="黑体" w:hAnsi="黑体" w:eastAsia="黑体"/>
          <w:sz w:val="44"/>
          <w:szCs w:val="44"/>
        </w:rPr>
        <w:t>（</w:t>
      </w:r>
      <w:r>
        <w:rPr>
          <w:rFonts w:hint="eastAsia" w:ascii="黑体" w:hAnsi="黑体" w:eastAsia="黑体"/>
          <w:sz w:val="44"/>
          <w:szCs w:val="44"/>
          <w:lang w:val="en-US" w:eastAsia="zh-CN"/>
        </w:rPr>
        <w:t>征求意见</w:t>
      </w:r>
      <w:r>
        <w:rPr>
          <w:rFonts w:hint="eastAsia" w:ascii="黑体" w:hAnsi="黑体" w:eastAsia="黑体"/>
          <w:sz w:val="44"/>
          <w:szCs w:val="44"/>
        </w:rPr>
        <w:t>稿）</w:t>
      </w: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left"/>
        <w:rPr>
          <w:b/>
          <w:bCs/>
        </w:rPr>
      </w:pPr>
    </w:p>
    <w:p>
      <w:pPr>
        <w:widowControl/>
        <w:spacing w:line="240" w:lineRule="auto"/>
        <w:ind w:firstLine="0" w:firstLineChars="0"/>
        <w:jc w:val="center"/>
        <w:rPr>
          <w:rFonts w:ascii="黑体" w:hAnsi="黑体" w:eastAsia="黑体"/>
          <w:b/>
          <w:bCs/>
        </w:rPr>
      </w:pPr>
    </w:p>
    <w:p>
      <w:pPr>
        <w:widowControl/>
        <w:spacing w:line="240" w:lineRule="auto"/>
        <w:ind w:firstLine="0" w:firstLineChars="0"/>
        <w:jc w:val="center"/>
        <w:rPr>
          <w:rFonts w:ascii="黑体" w:hAnsi="黑体" w:eastAsia="黑体"/>
          <w:b/>
          <w:bCs/>
        </w:rPr>
      </w:pPr>
    </w:p>
    <w:p>
      <w:pPr>
        <w:widowControl/>
        <w:ind w:firstLine="0" w:firstLineChars="0"/>
        <w:jc w:val="center"/>
        <w:rPr>
          <w:rFonts w:ascii="黑体" w:hAnsi="黑体" w:eastAsia="黑体"/>
          <w:b/>
          <w:bCs/>
          <w:sz w:val="28"/>
          <w:szCs w:val="28"/>
        </w:rPr>
      </w:pPr>
    </w:p>
    <w:p>
      <w:pPr>
        <w:widowControl/>
        <w:ind w:firstLine="0" w:firstLineChars="0"/>
        <w:jc w:val="center"/>
        <w:rPr>
          <w:rFonts w:ascii="黑体" w:hAnsi="黑体" w:eastAsia="黑体"/>
          <w:b/>
          <w:bCs/>
          <w:sz w:val="28"/>
          <w:szCs w:val="28"/>
        </w:rPr>
      </w:pPr>
    </w:p>
    <w:p>
      <w:pPr>
        <w:widowControl/>
        <w:ind w:firstLine="0" w:firstLineChars="0"/>
        <w:jc w:val="center"/>
        <w:rPr>
          <w:rFonts w:ascii="黑体" w:hAnsi="黑体" w:eastAsia="黑体"/>
          <w:sz w:val="28"/>
          <w:szCs w:val="28"/>
        </w:rPr>
      </w:pPr>
      <w:r>
        <w:rPr>
          <w:rFonts w:hint="eastAsia" w:ascii="黑体" w:hAnsi="黑体" w:eastAsia="黑体"/>
          <w:sz w:val="28"/>
          <w:szCs w:val="28"/>
        </w:rPr>
        <w:t>2024年2月</w:t>
      </w:r>
    </w:p>
    <w:p>
      <w:pPr>
        <w:widowControl/>
        <w:spacing w:line="240" w:lineRule="auto"/>
        <w:ind w:firstLine="0" w:firstLineChars="0"/>
        <w:jc w:val="left"/>
        <w:rPr>
          <w:b/>
          <w:bCs/>
          <w:lang w:val="zh-CN"/>
        </w:rPr>
      </w:pPr>
    </w:p>
    <w:p>
      <w:pPr>
        <w:widowControl/>
        <w:spacing w:line="240" w:lineRule="auto"/>
        <w:ind w:firstLine="0" w:firstLineChars="0"/>
        <w:jc w:val="left"/>
        <w:rPr>
          <w:b/>
          <w:bCs/>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1734" w:num="1"/>
          <w:docGrid w:type="lines" w:linePitch="326" w:charSpace="0"/>
        </w:sectPr>
      </w:pPr>
    </w:p>
    <w:p>
      <w:pPr>
        <w:pStyle w:val="2"/>
        <w:spacing w:before="489" w:after="326"/>
      </w:pPr>
      <w:bookmarkStart w:id="1" w:name="_Toc120822304"/>
      <w:r>
        <w:rPr>
          <w:rFonts w:hint="eastAsia"/>
        </w:rPr>
        <w:t>第一章 总 则</w:t>
      </w:r>
      <w:bookmarkEnd w:id="0"/>
      <w:bookmarkEnd w:id="1"/>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规划目的</w:t>
      </w:r>
    </w:p>
    <w:p>
      <w:pPr>
        <w:ind w:firstLine="480"/>
      </w:pPr>
      <w:r>
        <w:rPr>
          <w:rFonts w:hint="eastAsia"/>
        </w:rPr>
        <w:t>为促进起步区5G基础设施建设与城市融合高质量发展，发挥产业聚合作用，加快起步区5G网络深度覆盖和规模化应用，按照起步区“打造数字转型引擎、迎接数字时代”的要求，特编制此规划。</w:t>
      </w:r>
    </w:p>
    <w:p>
      <w:pPr>
        <w:ind w:firstLine="480"/>
      </w:pPr>
      <w:r>
        <w:rPr>
          <w:rFonts w:hint="eastAsia"/>
        </w:rPr>
        <w:t>（1）将5G移动通信基础设施建设与起步区发展全面衔接，完善起步区国土空间规划编制体系。</w:t>
      </w:r>
    </w:p>
    <w:p>
      <w:pPr>
        <w:ind w:firstLine="480"/>
      </w:pPr>
      <w:r>
        <w:rPr>
          <w:rFonts w:hint="eastAsia"/>
        </w:rPr>
        <w:t>（2）改造提升现状基站资源，充分利用社会公共挂高资源，结合5G创新应用场景，高标准确定基站布局标准，科学布局移动通信基站，实现5G网络深度覆盖。</w:t>
      </w:r>
    </w:p>
    <w:p>
      <w:pPr>
        <w:ind w:firstLine="480"/>
      </w:pPr>
      <w:r>
        <w:rPr>
          <w:rFonts w:hint="eastAsia"/>
        </w:rPr>
        <w:t>（3）加强基站统筹管理，优化建设审批程序，使基站统一规划、统一建设，完善配套支撑，确保基站建设同步规范有序。</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规划范围</w:t>
      </w:r>
    </w:p>
    <w:p>
      <w:pPr>
        <w:ind w:firstLine="480"/>
      </w:pPr>
      <w:r>
        <w:rPr>
          <w:rFonts w:hint="eastAsia"/>
        </w:rPr>
        <w:t>规划范围为济南新旧动能转换起步区全域，总面积约798.7平方公里。</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规划期限</w:t>
      </w:r>
    </w:p>
    <w:p>
      <w:pPr>
        <w:ind w:firstLine="480"/>
      </w:pPr>
      <w:r>
        <w:rPr>
          <w:rFonts w:hint="eastAsia"/>
        </w:rPr>
        <w:t>规划期限为20</w:t>
      </w:r>
      <w:r>
        <w:t>22</w:t>
      </w:r>
      <w:r>
        <w:rPr>
          <w:rFonts w:hint="eastAsia"/>
        </w:rPr>
        <w:t>至20</w:t>
      </w:r>
      <w:r>
        <w:t>35</w:t>
      </w:r>
      <w:r>
        <w:rPr>
          <w:rFonts w:hint="eastAsia"/>
        </w:rPr>
        <w:t>年，近期建设计划期限为20</w:t>
      </w:r>
      <w:r>
        <w:t>22</w:t>
      </w:r>
      <w:r>
        <w:rPr>
          <w:rFonts w:hint="eastAsia"/>
        </w:rPr>
        <w:t>至202</w:t>
      </w:r>
      <w:r>
        <w:t>5</w:t>
      </w:r>
      <w:r>
        <w:rPr>
          <w:rFonts w:hint="eastAsia"/>
        </w:rPr>
        <w:t>年。</w:t>
      </w:r>
    </w:p>
    <w:p>
      <w:pPr>
        <w:pStyle w:val="2"/>
        <w:spacing w:before="489" w:after="326"/>
      </w:pPr>
      <w:bookmarkStart w:id="2" w:name="_Toc120822305"/>
      <w:bookmarkStart w:id="3" w:name="_Toc20294943"/>
      <w:r>
        <w:rPr>
          <w:rFonts w:hint="eastAsia"/>
        </w:rPr>
        <w:t>第二章 规划目标与策略</w:t>
      </w:r>
      <w:bookmarkEnd w:id="2"/>
      <w:bookmarkEnd w:id="3"/>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指导思想</w:t>
      </w:r>
    </w:p>
    <w:p>
      <w:pPr>
        <w:ind w:firstLine="480"/>
      </w:pPr>
      <w:r>
        <w:rPr>
          <w:rFonts w:hint="eastAsia"/>
        </w:rPr>
        <w:t>以习近平新时代中国特色社会主义思想为指导，坚持移动通信基础设施的战略性公共基础设施地位，合理利用城市公共资源，统筹推进5G移动通信基础设施建设、加快5G网络部署和产业升级、推动5G深度融合发展。</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规划目标</w:t>
      </w:r>
    </w:p>
    <w:p>
      <w:pPr>
        <w:ind w:firstLine="480"/>
      </w:pPr>
      <w:r>
        <w:rPr>
          <w:rFonts w:hint="eastAsia"/>
        </w:rPr>
        <w:t>（1）总体目标：迎接数字时代，实现起步区5G网络全覆盖，将5G移动通信系统纳入公共基础设施统一规划建设；建设面向未来的新型通信基础设施，支撑智慧城市发展，将起步区打造为数字济南5G应用最佳实践区。</w:t>
      </w:r>
    </w:p>
    <w:p>
      <w:pPr>
        <w:ind w:firstLine="480"/>
      </w:pPr>
      <w:r>
        <w:rPr>
          <w:rFonts w:hint="eastAsia"/>
        </w:rPr>
        <w:t>（2）近期目标：推进5</w:t>
      </w:r>
      <w:r>
        <w:t>G</w:t>
      </w:r>
      <w:r>
        <w:rPr>
          <w:rFonts w:hint="eastAsia"/>
        </w:rPr>
        <w:t>移动通信基础设施专项规划纳入起步区“1+4+16+N”规划体系，规范基站选址建设流程；实现现状城区及</w:t>
      </w:r>
      <w:r>
        <w:t>重点建设区</w:t>
      </w:r>
      <w:r>
        <w:rPr>
          <w:rFonts w:hint="eastAsia"/>
        </w:rPr>
        <w:t>、</w:t>
      </w:r>
      <w:r>
        <w:t>典型</w:t>
      </w:r>
      <w:r>
        <w:rPr>
          <w:rFonts w:hint="eastAsia"/>
        </w:rPr>
        <w:t>应用</w:t>
      </w:r>
      <w:r>
        <w:t>示范</w:t>
      </w:r>
      <w:r>
        <w:rPr>
          <w:rFonts w:hint="eastAsia"/>
        </w:rPr>
        <w:t>区域基站深度覆盖，其他区域广泛覆盖，加强基站共建共享，完善设施配套支撑，推动5</w:t>
      </w:r>
      <w:r>
        <w:t>G</w:t>
      </w:r>
      <w:r>
        <w:rPr>
          <w:rFonts w:hint="eastAsia"/>
        </w:rPr>
        <w:t>创新场景应用。</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规划策略</w:t>
      </w:r>
    </w:p>
    <w:p>
      <w:pPr>
        <w:ind w:firstLine="480"/>
      </w:pPr>
      <w:r>
        <w:rPr>
          <w:rFonts w:hint="eastAsia"/>
        </w:rPr>
        <w:t>（1）场景创新、突出重点。</w:t>
      </w:r>
    </w:p>
    <w:p>
      <w:pPr>
        <w:ind w:firstLine="480"/>
      </w:pPr>
      <w:r>
        <w:rPr>
          <w:rFonts w:hint="eastAsia"/>
        </w:rPr>
        <w:t>（</w:t>
      </w:r>
      <w:r>
        <w:t>2</w:t>
      </w:r>
      <w:r>
        <w:rPr>
          <w:rFonts w:hint="eastAsia"/>
        </w:rPr>
        <w:t>）城乡一体、共建共享。</w:t>
      </w:r>
    </w:p>
    <w:p>
      <w:pPr>
        <w:ind w:firstLine="480"/>
      </w:pPr>
      <w:r>
        <w:rPr>
          <w:rFonts w:hint="eastAsia"/>
        </w:rPr>
        <w:t>（3）绿色低碳、集约高效。</w:t>
      </w:r>
    </w:p>
    <w:p>
      <w:pPr>
        <w:ind w:firstLine="480"/>
      </w:pPr>
      <w:r>
        <w:rPr>
          <w:rFonts w:hint="eastAsia"/>
        </w:rPr>
        <w:t>（4）</w:t>
      </w:r>
      <w:r>
        <w:t>近远结合</w:t>
      </w:r>
      <w:r>
        <w:rPr>
          <w:rFonts w:hint="eastAsia"/>
        </w:rPr>
        <w:t>、面向未来。</w:t>
      </w:r>
    </w:p>
    <w:p>
      <w:pPr>
        <w:pStyle w:val="2"/>
        <w:spacing w:before="489" w:after="326"/>
      </w:pPr>
      <w:bookmarkStart w:id="4" w:name="_Toc120822306"/>
      <w:r>
        <w:rPr>
          <w:rFonts w:hint="eastAsia"/>
        </w:rPr>
        <w:t xml:space="preserve">第三章 </w:t>
      </w:r>
      <w:r>
        <w:t>基站</w:t>
      </w:r>
      <w:r>
        <w:rPr>
          <w:rFonts w:hint="eastAsia"/>
        </w:rPr>
        <w:t>布局规划</w:t>
      </w:r>
      <w:bookmarkEnd w:id="4"/>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基站类型</w:t>
      </w:r>
    </w:p>
    <w:p>
      <w:pPr>
        <w:ind w:firstLine="480"/>
      </w:pPr>
      <w:r>
        <w:rPr>
          <w:rFonts w:hint="eastAsia"/>
        </w:rPr>
        <w:t>移动通信基站按覆盖功能可分为宏基站、微基站、室内站，其中宏基站广域覆盖、微基站深度覆盖、室内站精确覆盖。</w:t>
      </w:r>
    </w:p>
    <w:p>
      <w:pPr>
        <w:ind w:firstLine="480"/>
      </w:pPr>
      <w:r>
        <w:rPr>
          <w:rFonts w:hint="eastAsia"/>
        </w:rPr>
        <w:t>本次规划基站布局主要针对“宏基站+微基站”，采用宏微协同的形式统筹规划布局，其中宏基站为构建全覆盖无线网络的主要设施，微基站作为宏基站覆盖的补充、应用于人流和建设密集区域。</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规划布局原则</w:t>
      </w:r>
    </w:p>
    <w:p>
      <w:pPr>
        <w:ind w:firstLine="480"/>
      </w:pPr>
      <w:r>
        <w:rPr>
          <w:rFonts w:hint="eastAsia"/>
        </w:rPr>
        <w:t>科学确定基站间距标准，合理划分布局场景；统筹利用社会资源，优先利用存量基站；重点板块加密布局，合理部署新增基站；重点区域优先布置，远近分期按需推进。</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布局场景划分及间距标准</w:t>
      </w:r>
    </w:p>
    <w:p>
      <w:pPr>
        <w:ind w:firstLine="480"/>
      </w:pPr>
      <w:r>
        <w:rPr>
          <w:rFonts w:hint="eastAsia"/>
        </w:rPr>
        <w:t>根据城市分区功能、用地类型、使用强度的不同，对于5G信号速度、强度的使用提出不同的要求，规划划分一类密集区、二类密集区、三类密集区、四类密集区、五类密集区，以及道路沿线六种布局场景，分别设置不同的基站间距。</w:t>
      </w:r>
    </w:p>
    <w:p>
      <w:pPr>
        <w:spacing w:line="240" w:lineRule="auto"/>
        <w:ind w:firstLine="0" w:firstLineChars="0"/>
        <w:jc w:val="center"/>
      </w:pPr>
      <w:r>
        <w:rPr>
          <w:rFonts w:hint="eastAsia"/>
        </w:rPr>
        <w:t>表1</w:t>
      </w:r>
      <w:r>
        <w:t xml:space="preserve">  </w:t>
      </w:r>
      <w:r>
        <w:rPr>
          <w:rFonts w:hint="eastAsia"/>
        </w:rPr>
        <w:t>布局场景划分及间距标准一览表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gridCol w:w="2035"/>
        <w:gridCol w:w="4503"/>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62" w:type="pct"/>
            <w:vAlign w:val="center"/>
          </w:tcPr>
          <w:p>
            <w:pPr>
              <w:spacing w:line="240" w:lineRule="auto"/>
              <w:ind w:firstLine="0" w:firstLineChars="0"/>
              <w:jc w:val="center"/>
            </w:pPr>
            <w:r>
              <w:t>密度分区</w:t>
            </w:r>
          </w:p>
        </w:tc>
        <w:tc>
          <w:tcPr>
            <w:tcW w:w="1101" w:type="pct"/>
            <w:vAlign w:val="center"/>
          </w:tcPr>
          <w:p>
            <w:pPr>
              <w:spacing w:line="240" w:lineRule="auto"/>
              <w:ind w:firstLine="0" w:firstLineChars="0"/>
              <w:jc w:val="center"/>
            </w:pPr>
            <w:r>
              <w:t>场景分类</w:t>
            </w:r>
          </w:p>
        </w:tc>
        <w:tc>
          <w:tcPr>
            <w:tcW w:w="2436" w:type="pct"/>
            <w:vAlign w:val="center"/>
          </w:tcPr>
          <w:p>
            <w:pPr>
              <w:spacing w:line="240" w:lineRule="auto"/>
              <w:ind w:firstLine="0" w:firstLineChars="0"/>
              <w:jc w:val="center"/>
            </w:pPr>
            <w:r>
              <w:t>空间位置</w:t>
            </w:r>
          </w:p>
        </w:tc>
        <w:tc>
          <w:tcPr>
            <w:tcW w:w="601" w:type="pct"/>
            <w:vAlign w:val="center"/>
          </w:tcPr>
          <w:p>
            <w:pPr>
              <w:spacing w:line="240" w:lineRule="auto"/>
              <w:ind w:firstLine="0" w:firstLineChars="0"/>
              <w:jc w:val="center"/>
            </w:pPr>
            <w:r>
              <w:t>间距（米）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pct"/>
            <w:vAlign w:val="center"/>
          </w:tcPr>
          <w:p>
            <w:pPr>
              <w:spacing w:line="240" w:lineRule="auto"/>
              <w:ind w:firstLine="0" w:firstLineChars="0"/>
              <w:jc w:val="center"/>
            </w:pPr>
            <w:r>
              <w:rPr>
                <w:rFonts w:hint="eastAsia"/>
              </w:rPr>
              <w:t>一类密集区</w:t>
            </w:r>
          </w:p>
        </w:tc>
        <w:tc>
          <w:tcPr>
            <w:tcW w:w="1101" w:type="pct"/>
            <w:vMerge w:val="restart"/>
            <w:vAlign w:val="center"/>
          </w:tcPr>
          <w:p>
            <w:pPr>
              <w:spacing w:line="240" w:lineRule="auto"/>
              <w:ind w:firstLine="0" w:firstLineChars="0"/>
              <w:jc w:val="center"/>
            </w:pPr>
            <w:r>
              <w:rPr>
                <w:rFonts w:hint="eastAsia"/>
              </w:rPr>
              <w:t>城镇集中建设区</w:t>
            </w:r>
          </w:p>
        </w:tc>
        <w:tc>
          <w:tcPr>
            <w:tcW w:w="2436" w:type="pct"/>
            <w:vAlign w:val="center"/>
          </w:tcPr>
          <w:p>
            <w:pPr>
              <w:spacing w:line="240" w:lineRule="auto"/>
              <w:ind w:firstLine="0" w:firstLineChars="0"/>
              <w:jc w:val="center"/>
            </w:pPr>
            <w:r>
              <w:rPr>
                <w:rFonts w:hint="eastAsia"/>
              </w:rPr>
              <w:t>市民服务区、总部经济区、</w:t>
            </w:r>
          </w:p>
          <w:p>
            <w:pPr>
              <w:spacing w:line="240" w:lineRule="auto"/>
              <w:ind w:firstLine="0" w:firstLineChars="0"/>
              <w:jc w:val="center"/>
            </w:pPr>
            <w:r>
              <w:rPr>
                <w:rFonts w:hint="eastAsia"/>
              </w:rPr>
              <w:t>创新示范区、空港片区、陆港片区等</w:t>
            </w:r>
          </w:p>
          <w:p>
            <w:pPr>
              <w:spacing w:line="240" w:lineRule="auto"/>
              <w:ind w:firstLine="0" w:firstLineChars="0"/>
              <w:jc w:val="center"/>
            </w:pPr>
            <w:r>
              <w:rPr>
                <w:rFonts w:hint="eastAsia"/>
              </w:rPr>
              <w:t>规划城市建设用地</w:t>
            </w:r>
          </w:p>
        </w:tc>
        <w:tc>
          <w:tcPr>
            <w:tcW w:w="601" w:type="pct"/>
            <w:vAlign w:val="center"/>
          </w:tcPr>
          <w:p>
            <w:pPr>
              <w:spacing w:line="240" w:lineRule="auto"/>
              <w:ind w:firstLine="0" w:firstLineChars="0"/>
              <w:jc w:val="center"/>
            </w:pPr>
            <w:r>
              <w:rPr>
                <w:rFonts w:hint="eastAsia"/>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pct"/>
            <w:vAlign w:val="center"/>
          </w:tcPr>
          <w:p>
            <w:pPr>
              <w:spacing w:line="240" w:lineRule="auto"/>
              <w:ind w:firstLine="0" w:firstLineChars="0"/>
              <w:jc w:val="center"/>
            </w:pPr>
            <w:r>
              <w:rPr>
                <w:rFonts w:hint="eastAsia"/>
              </w:rPr>
              <w:t>二类密集区</w:t>
            </w:r>
          </w:p>
        </w:tc>
        <w:tc>
          <w:tcPr>
            <w:tcW w:w="1101" w:type="pct"/>
            <w:vMerge w:val="continue"/>
            <w:vAlign w:val="center"/>
          </w:tcPr>
          <w:p>
            <w:pPr>
              <w:spacing w:line="240" w:lineRule="auto"/>
              <w:ind w:firstLine="0" w:firstLineChars="0"/>
              <w:jc w:val="center"/>
            </w:pPr>
          </w:p>
        </w:tc>
        <w:tc>
          <w:tcPr>
            <w:tcW w:w="2436" w:type="pct"/>
            <w:vAlign w:val="center"/>
          </w:tcPr>
          <w:p>
            <w:pPr>
              <w:spacing w:line="240" w:lineRule="auto"/>
              <w:ind w:firstLine="0" w:firstLineChars="0"/>
              <w:jc w:val="center"/>
            </w:pPr>
            <w:r>
              <w:rPr>
                <w:rFonts w:hint="eastAsia"/>
              </w:rPr>
              <w:t>桑梓店、崔寨、空港、孙耿等</w:t>
            </w:r>
          </w:p>
          <w:p>
            <w:pPr>
              <w:spacing w:line="240" w:lineRule="auto"/>
              <w:ind w:firstLine="0" w:firstLineChars="0"/>
              <w:jc w:val="center"/>
            </w:pPr>
            <w:r>
              <w:rPr>
                <w:rFonts w:hint="eastAsia"/>
              </w:rPr>
              <w:t>规划城市建设用地</w:t>
            </w:r>
          </w:p>
        </w:tc>
        <w:tc>
          <w:tcPr>
            <w:tcW w:w="601" w:type="pct"/>
            <w:vAlign w:val="center"/>
          </w:tcPr>
          <w:p>
            <w:pPr>
              <w:spacing w:line="240" w:lineRule="auto"/>
              <w:ind w:firstLine="0" w:firstLineChars="0"/>
              <w:jc w:val="center"/>
            </w:pPr>
            <w:r>
              <w:rPr>
                <w:rFonts w:hint="eastAsia"/>
              </w:rPr>
              <w:t>150-200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pct"/>
            <w:vAlign w:val="center"/>
          </w:tcPr>
          <w:p>
            <w:pPr>
              <w:spacing w:line="240" w:lineRule="auto"/>
              <w:ind w:firstLine="0" w:firstLineChars="0"/>
              <w:jc w:val="center"/>
            </w:pPr>
            <w:r>
              <w:rPr>
                <w:rFonts w:hint="eastAsia"/>
              </w:rPr>
              <w:t>三类密集区</w:t>
            </w:r>
          </w:p>
        </w:tc>
        <w:tc>
          <w:tcPr>
            <w:tcW w:w="1101" w:type="pct"/>
            <w:vAlign w:val="center"/>
          </w:tcPr>
          <w:p>
            <w:pPr>
              <w:spacing w:line="240" w:lineRule="auto"/>
              <w:ind w:firstLine="0" w:firstLineChars="0"/>
              <w:jc w:val="center"/>
            </w:pPr>
            <w:r>
              <w:rPr>
                <w:rFonts w:hint="eastAsia"/>
              </w:rPr>
              <w:t>外围街办驻地、特色小城镇</w:t>
            </w:r>
          </w:p>
        </w:tc>
        <w:tc>
          <w:tcPr>
            <w:tcW w:w="2436" w:type="pct"/>
            <w:vAlign w:val="center"/>
          </w:tcPr>
          <w:p>
            <w:pPr>
              <w:spacing w:line="240" w:lineRule="auto"/>
              <w:ind w:firstLine="0" w:firstLineChars="0"/>
              <w:jc w:val="center"/>
            </w:pPr>
            <w:r>
              <w:rPr>
                <w:rFonts w:hint="eastAsia"/>
              </w:rPr>
              <w:t>太平、高官寨、唐王及中心建设区域外围的特色小城镇</w:t>
            </w:r>
          </w:p>
        </w:tc>
        <w:tc>
          <w:tcPr>
            <w:tcW w:w="601" w:type="pct"/>
            <w:vAlign w:val="center"/>
          </w:tcPr>
          <w:p>
            <w:pPr>
              <w:spacing w:line="240" w:lineRule="auto"/>
              <w:ind w:firstLine="0" w:firstLineChars="0"/>
              <w:jc w:val="center"/>
            </w:pPr>
            <w:r>
              <w:rPr>
                <w:rFonts w:hint="eastAsia"/>
              </w:rPr>
              <w:t>200-240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pct"/>
            <w:vAlign w:val="center"/>
          </w:tcPr>
          <w:p>
            <w:pPr>
              <w:spacing w:line="240" w:lineRule="auto"/>
              <w:ind w:firstLine="0" w:firstLineChars="0"/>
              <w:jc w:val="center"/>
            </w:pPr>
            <w:r>
              <w:rPr>
                <w:rFonts w:hint="eastAsia"/>
              </w:rPr>
              <w:t>四类分区</w:t>
            </w:r>
          </w:p>
        </w:tc>
        <w:tc>
          <w:tcPr>
            <w:tcW w:w="1101" w:type="pct"/>
            <w:vAlign w:val="center"/>
          </w:tcPr>
          <w:p>
            <w:pPr>
              <w:spacing w:line="240" w:lineRule="auto"/>
              <w:ind w:firstLine="0" w:firstLineChars="0"/>
              <w:jc w:val="center"/>
            </w:pPr>
            <w:r>
              <w:rPr>
                <w:rFonts w:hint="eastAsia"/>
              </w:rPr>
              <w:t>乡村建设区</w:t>
            </w:r>
          </w:p>
        </w:tc>
        <w:tc>
          <w:tcPr>
            <w:tcW w:w="2436" w:type="pct"/>
            <w:vAlign w:val="center"/>
          </w:tcPr>
          <w:p>
            <w:pPr>
              <w:spacing w:line="240" w:lineRule="auto"/>
              <w:ind w:firstLine="0" w:firstLineChars="0"/>
              <w:jc w:val="center"/>
            </w:pPr>
            <w:r>
              <w:rPr>
                <w:rFonts w:hint="eastAsia"/>
              </w:rPr>
              <w:t>农村居民点建设用地</w:t>
            </w:r>
          </w:p>
        </w:tc>
        <w:tc>
          <w:tcPr>
            <w:tcW w:w="601" w:type="pct"/>
            <w:vAlign w:val="center"/>
          </w:tcPr>
          <w:p>
            <w:pPr>
              <w:spacing w:line="240" w:lineRule="auto"/>
              <w:ind w:firstLine="0" w:firstLineChars="0"/>
              <w:jc w:val="center"/>
            </w:pPr>
            <w:r>
              <w:rPr>
                <w:rFonts w:hint="eastAsia"/>
              </w:rPr>
              <w:t>300-350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pct"/>
            <w:vAlign w:val="center"/>
          </w:tcPr>
          <w:p>
            <w:pPr>
              <w:spacing w:line="240" w:lineRule="auto"/>
              <w:ind w:firstLine="0" w:firstLineChars="0"/>
              <w:jc w:val="center"/>
            </w:pPr>
            <w:r>
              <w:rPr>
                <w:rFonts w:hint="eastAsia"/>
              </w:rPr>
              <w:t>五类分区</w:t>
            </w:r>
          </w:p>
        </w:tc>
        <w:tc>
          <w:tcPr>
            <w:tcW w:w="1101" w:type="pct"/>
            <w:vAlign w:val="center"/>
          </w:tcPr>
          <w:p>
            <w:pPr>
              <w:spacing w:line="240" w:lineRule="auto"/>
              <w:ind w:firstLine="0" w:firstLineChars="0"/>
              <w:jc w:val="center"/>
            </w:pPr>
            <w:r>
              <w:rPr>
                <w:rFonts w:hint="eastAsia"/>
              </w:rPr>
              <w:t>自然风景区、其他非建区域</w:t>
            </w:r>
          </w:p>
        </w:tc>
        <w:tc>
          <w:tcPr>
            <w:tcW w:w="2436" w:type="pct"/>
            <w:vAlign w:val="center"/>
          </w:tcPr>
          <w:p>
            <w:pPr>
              <w:spacing w:line="240" w:lineRule="auto"/>
              <w:ind w:firstLine="0" w:firstLineChars="0"/>
              <w:jc w:val="center"/>
            </w:pPr>
            <w:r>
              <w:rPr>
                <w:rFonts w:hint="eastAsia"/>
              </w:rPr>
              <w:t>风景游览区、发展控制区和</w:t>
            </w:r>
          </w:p>
          <w:p>
            <w:pPr>
              <w:spacing w:line="240" w:lineRule="auto"/>
              <w:ind w:firstLine="0" w:firstLineChars="0"/>
              <w:jc w:val="center"/>
            </w:pPr>
            <w:r>
              <w:rPr>
                <w:rFonts w:hint="eastAsia"/>
              </w:rPr>
              <w:t>农林用地等非建设用地</w:t>
            </w:r>
          </w:p>
        </w:tc>
        <w:tc>
          <w:tcPr>
            <w:tcW w:w="601" w:type="pct"/>
            <w:vAlign w:val="center"/>
          </w:tcPr>
          <w:p>
            <w:pPr>
              <w:spacing w:line="240" w:lineRule="auto"/>
              <w:ind w:firstLine="0" w:firstLineChars="0"/>
              <w:jc w:val="center"/>
            </w:pPr>
            <w:r>
              <w:rPr>
                <w:rFonts w:hint="eastAsia"/>
              </w:rPr>
              <w:t>400-450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2" w:type="pct"/>
            <w:vAlign w:val="center"/>
          </w:tcPr>
          <w:p>
            <w:pPr>
              <w:spacing w:line="240" w:lineRule="auto"/>
              <w:ind w:firstLine="0" w:firstLineChars="0"/>
              <w:jc w:val="center"/>
            </w:pPr>
            <w:r>
              <w:rPr>
                <w:rFonts w:hint="eastAsia"/>
              </w:rPr>
              <w:t>道路沿线</w:t>
            </w:r>
          </w:p>
        </w:tc>
        <w:tc>
          <w:tcPr>
            <w:tcW w:w="1101" w:type="pct"/>
            <w:vAlign w:val="center"/>
          </w:tcPr>
          <w:p>
            <w:pPr>
              <w:spacing w:line="240" w:lineRule="auto"/>
              <w:ind w:firstLine="0" w:firstLineChars="0"/>
              <w:jc w:val="center"/>
            </w:pPr>
            <w:r>
              <w:rPr>
                <w:rFonts w:hint="eastAsia"/>
              </w:rPr>
              <w:t>重要交通线</w:t>
            </w:r>
          </w:p>
        </w:tc>
        <w:tc>
          <w:tcPr>
            <w:tcW w:w="2436" w:type="pct"/>
            <w:vAlign w:val="center"/>
          </w:tcPr>
          <w:p>
            <w:pPr>
              <w:spacing w:line="240" w:lineRule="auto"/>
              <w:ind w:firstLine="0" w:firstLineChars="0"/>
              <w:jc w:val="center"/>
            </w:pPr>
            <w:r>
              <w:rPr>
                <w:rFonts w:hint="eastAsia"/>
              </w:rPr>
              <w:t>区域交通、城市主要主次干道沿线区域</w:t>
            </w:r>
          </w:p>
        </w:tc>
        <w:tc>
          <w:tcPr>
            <w:tcW w:w="601" w:type="pct"/>
            <w:vAlign w:val="center"/>
          </w:tcPr>
          <w:p>
            <w:pPr>
              <w:spacing w:line="240" w:lineRule="auto"/>
              <w:ind w:firstLine="0" w:firstLineChars="0"/>
              <w:jc w:val="center"/>
            </w:pPr>
            <w:r>
              <w:rPr>
                <w:rFonts w:hint="eastAsia"/>
              </w:rPr>
              <w:t>100-200</w:t>
            </w:r>
          </w:p>
        </w:tc>
      </w:tr>
    </w:tbl>
    <w:p>
      <w:pPr>
        <w:ind w:firstLine="480"/>
      </w:pP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基站规划布局</w:t>
      </w:r>
    </w:p>
    <w:p>
      <w:pPr>
        <w:ind w:firstLine="480"/>
      </w:pPr>
      <w:r>
        <w:rPr>
          <w:rFonts w:hint="eastAsia"/>
        </w:rPr>
        <w:t>（1）依据起步区国土空间分区规划的传导单元划分，将起步区分为大桥片区、崔寨片区、临空片区、桑梓店片区、孙耿片区、太平片区、高官寨片区、唐王片区、鹊山龙湖片区九大功能传导单元。</w:t>
      </w:r>
    </w:p>
    <w:p>
      <w:pPr>
        <w:ind w:firstLine="480"/>
      </w:pPr>
      <w:r>
        <w:rPr>
          <w:rFonts w:hint="eastAsia"/>
        </w:rPr>
        <w:t>（</w:t>
      </w:r>
      <w:r>
        <w:t>2</w:t>
      </w:r>
      <w:r>
        <w:rPr>
          <w:rFonts w:hint="eastAsia"/>
        </w:rPr>
        <w:t>）规划布局5G</w:t>
      </w:r>
      <w:r>
        <w:t>移动通信基站</w:t>
      </w:r>
      <w:r>
        <w:rPr>
          <w:rFonts w:hint="eastAsia"/>
        </w:rPr>
        <w:t>共15734座，其中新建基站15067座，现状改造提升基站657座。新增</w:t>
      </w:r>
      <w:r>
        <w:t>基站</w:t>
      </w:r>
      <w:r>
        <w:rPr>
          <w:rFonts w:hint="eastAsia"/>
        </w:rPr>
        <w:t>包括</w:t>
      </w:r>
      <w:r>
        <w:t>：</w:t>
      </w:r>
      <w:r>
        <w:rPr>
          <w:rFonts w:hint="eastAsia"/>
        </w:rPr>
        <w:t>大桥片区3104座，临空片区3513座，崔寨片区2309座，桑梓店片区1317座，孙耿片区1473座，太平片区1196座，唐王片区455座，高官寨片区1055座，鹊山龙湖片区645座</w:t>
      </w:r>
      <w:r>
        <w:t>。</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整合提升存量基站</w:t>
      </w:r>
    </w:p>
    <w:p>
      <w:pPr>
        <w:ind w:firstLine="480"/>
      </w:pPr>
      <w:r>
        <w:rPr>
          <w:rFonts w:hint="eastAsia"/>
        </w:rPr>
        <w:t>统筹考虑用地条件、业务需求、基站设备等因素，优先利用和提升改造存量6</w:t>
      </w:r>
      <w:r>
        <w:t>57</w:t>
      </w:r>
      <w:r>
        <w:rPr>
          <w:rFonts w:hint="eastAsia"/>
        </w:rPr>
        <w:t>座基站。因城市建设发展需要改动、拆除或者迁移在用基站设施的，应先行征得通信基础设施产权人或管理人同意，在不降低原有通信服务水平和质量条件下，由通信基础设施产权单位制定迁改方案。</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统筹利用社会资源</w:t>
      </w:r>
    </w:p>
    <w:p>
      <w:pPr>
        <w:ind w:firstLine="480"/>
      </w:pPr>
      <w:r>
        <w:rPr>
          <w:rFonts w:hint="eastAsia"/>
        </w:rPr>
        <w:t>遵循“一切挂高皆可用”的共享理念，新建基站尽量不独立占地，复合化利用社会资源，推进社会资源与通信基站统筹共享、同步施工、同杆架设。</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合理选址新增基站</w:t>
      </w:r>
    </w:p>
    <w:p>
      <w:pPr>
        <w:ind w:firstLine="480"/>
      </w:pPr>
      <w:r>
        <w:rPr>
          <w:rFonts w:hint="eastAsia"/>
        </w:rPr>
        <w:t>充分对接起步区5G业务场景需求，在满足布局间距标准范围内，结合用地优先选择及合理避让原则，统筹评估基站选址用地适宜性。</w:t>
      </w:r>
    </w:p>
    <w:p>
      <w:pPr>
        <w:ind w:firstLine="480"/>
      </w:pPr>
      <w:r>
        <w:rPr>
          <w:rFonts w:hint="eastAsia"/>
        </w:rPr>
        <w:t>（1）基于民生服务、产业发展等需求，合理选择5G业务需求较大的用地。</w:t>
      </w:r>
    </w:p>
    <w:p>
      <w:pPr>
        <w:ind w:firstLine="480"/>
      </w:pPr>
      <w:r>
        <w:rPr>
          <w:rFonts w:hint="eastAsia"/>
        </w:rPr>
        <w:t>（2）优先选择行政办公、文化设施、教育科研、体育、医疗卫生、交通枢纽、居住、风景名胜等用地。</w:t>
      </w:r>
    </w:p>
    <w:p>
      <w:pPr>
        <w:ind w:firstLine="480"/>
      </w:pPr>
      <w:r>
        <w:rPr>
          <w:rFonts w:hint="eastAsia"/>
        </w:rPr>
        <w:t>（3）依据相关规范要求，合理避让对电磁辐射敏感的幼托、加油加气站用地等。</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基站布局弹性原则及调整程序</w:t>
      </w:r>
    </w:p>
    <w:p>
      <w:pPr>
        <w:ind w:firstLine="480"/>
      </w:pPr>
      <w:r>
        <w:rPr>
          <w:rFonts w:hint="eastAsia"/>
        </w:rPr>
        <w:t>（1）适度加密：城镇建设范围内中高密度的人群集聚区域和典型的应用场景区域可进行适度加密5G基站布局，调整基站间距。</w:t>
      </w:r>
    </w:p>
    <w:p>
      <w:pPr>
        <w:ind w:firstLine="480"/>
      </w:pPr>
      <w:r>
        <w:rPr>
          <w:rFonts w:hint="eastAsia"/>
        </w:rPr>
        <w:t>（2）弹性调整：根据周边用地的建设实际情况，按照各场景布局5G基站间距20%的容差范围内，进行弹性调整。</w:t>
      </w:r>
    </w:p>
    <w:p>
      <w:pPr>
        <w:ind w:firstLine="480"/>
      </w:pPr>
      <w:r>
        <w:rPr>
          <w:rFonts w:hint="eastAsia"/>
        </w:rPr>
        <w:t>（3）修改程序：具体规划实施过程中，需进行局部调整时，应委托具备合法通信工程设计资质的单位编制调整优化方案，经市政府相关部门审核后，确认其合法性。</w:t>
      </w:r>
    </w:p>
    <w:p>
      <w:pPr>
        <w:ind w:firstLine="480"/>
      </w:pPr>
      <w:r>
        <w:rPr>
          <w:rFonts w:hint="eastAsia"/>
        </w:rPr>
        <w:t>（4）动态优化：对于本规划未明确的点位，可委托具备合法通信工程设计资质的单位依据实际情况进行调整优化，经市政府相关部门审核后，确认其合法性。</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5G储能换电站布局</w:t>
      </w:r>
    </w:p>
    <w:p>
      <w:pPr>
        <w:ind w:firstLine="480"/>
      </w:pPr>
      <w:r>
        <w:rPr>
          <w:rFonts w:hint="eastAsia"/>
        </w:rPr>
        <w:t>综合考虑既有经验、市场需求、基站间距等因素，确定5G储能换电站布局间距标准为：城镇建设区域0.5-1.0千米，外围区域1.5-2.0千米。</w:t>
      </w:r>
    </w:p>
    <w:p>
      <w:pPr>
        <w:ind w:firstLine="480"/>
      </w:pPr>
      <w:r>
        <w:rPr>
          <w:rFonts w:hint="eastAsia"/>
        </w:rPr>
        <w:t>规划布局储能换电站共611处，其中城镇建设区域内布局338座，村庄建设区布局93座，其他区域布局180座。规划实施过程中应结合市场实际需求布置站点位置，最终储能换电站数量可在规划指标20%范围内进行调整。</w:t>
      </w:r>
    </w:p>
    <w:p>
      <w:pPr>
        <w:pStyle w:val="2"/>
        <w:spacing w:before="489" w:after="326"/>
      </w:pPr>
      <w:bookmarkStart w:id="5" w:name="_Toc20294945"/>
      <w:bookmarkStart w:id="6" w:name="_Toc120822307"/>
      <w:r>
        <w:rPr>
          <w:rFonts w:hint="eastAsia"/>
        </w:rPr>
        <w:t>第四章 风貌引导及建设管控</w:t>
      </w:r>
      <w:bookmarkEnd w:id="5"/>
      <w:bookmarkEnd w:id="6"/>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风貌融合指引原则</w:t>
      </w:r>
    </w:p>
    <w:p>
      <w:pPr>
        <w:ind w:firstLine="480"/>
      </w:pPr>
      <w:r>
        <w:rPr>
          <w:rFonts w:hint="eastAsia"/>
        </w:rPr>
        <w:t>优化基站与建筑形式、市政设施、景观环境的风貌融合，充分利用现有建筑屋顶、市政设施、构筑物等挂高资源，大力推进多杆合一、智能灯杆建设，实现处处“建塔”不见塔。</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分场景建设管控</w:t>
      </w:r>
    </w:p>
    <w:p>
      <w:pPr>
        <w:ind w:firstLine="480"/>
      </w:pPr>
      <w:r>
        <w:rPr>
          <w:rFonts w:hint="eastAsia"/>
        </w:rPr>
        <w:t>外围区域以铁塔地面站为主，新拓展建设区域以附建型为主，建设成熟区以杆塔一体为主。</w:t>
      </w:r>
    </w:p>
    <w:p>
      <w:pPr>
        <w:ind w:firstLine="480"/>
      </w:pPr>
      <w:r>
        <w:rPr>
          <w:rFonts w:hint="eastAsia"/>
        </w:rPr>
        <w:t>（1）公共绿地、广场、景区：站址选取以不影响场景整体布局结构、符合园林美观要求为原则，可选取路边绿地、广场灯杆、建筑物顶等位置。</w:t>
      </w:r>
    </w:p>
    <w:p>
      <w:pPr>
        <w:ind w:firstLine="480"/>
      </w:pPr>
      <w:r>
        <w:rPr>
          <w:rFonts w:hint="eastAsia"/>
        </w:rPr>
        <w:t>（2）城市道路：站址选取道路两旁绿化带、道路红线内绿化分隔岛、道路两旁路灯位置、沿街建筑物顶等位置。</w:t>
      </w:r>
    </w:p>
    <w:p>
      <w:pPr>
        <w:ind w:firstLine="480"/>
      </w:pPr>
      <w:r>
        <w:rPr>
          <w:rFonts w:hint="eastAsia"/>
        </w:rPr>
        <w:t>（</w:t>
      </w:r>
      <w:r>
        <w:t>3</w:t>
      </w:r>
      <w:r>
        <w:rPr>
          <w:rFonts w:hint="eastAsia"/>
        </w:rPr>
        <w:t>）行政办公区、商务办公区、商业金融区等大型公共建筑区域：优先选址在不高于周边建筑物平均高度10米以上的建筑物顶新建楼面站，对于确实无法在建筑物顶上建设的站址，可考虑地面建设。</w:t>
      </w:r>
    </w:p>
    <w:p>
      <w:pPr>
        <w:ind w:firstLine="480"/>
      </w:pPr>
      <w:r>
        <w:rPr>
          <w:rFonts w:hint="eastAsia"/>
        </w:rPr>
        <w:t>（</w:t>
      </w:r>
      <w:r>
        <w:t>4</w:t>
      </w:r>
      <w:r>
        <w:rPr>
          <w:rFonts w:hint="eastAsia"/>
        </w:rPr>
        <w:t>）居民小区：对于无信号覆盖的老旧小区、地下车库（含电梯），主要考虑小区内或小区外围建设地面站，探索由各区县政府牵头，通过业主公共基金支付、政府补贴等多种方式解决。对于新建小区，应在小区建设时要求开发商根据规划位置，在小区楼顶预留机房和塔桅安装位置。</w:t>
      </w:r>
    </w:p>
    <w:p>
      <w:pPr>
        <w:ind w:firstLine="480"/>
      </w:pPr>
      <w:r>
        <w:rPr>
          <w:rFonts w:hint="eastAsia"/>
        </w:rPr>
        <w:t>（</w:t>
      </w:r>
      <w:r>
        <w:t>5</w:t>
      </w:r>
      <w:r>
        <w:rPr>
          <w:rFonts w:hint="eastAsia"/>
        </w:rPr>
        <w:t>）工业产业集中区域：由于建筑物较低，建议以地面站为主；规划位置周边确实有建筑物可以满足天线挂高要求的建设在建筑物顶。</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室内站建设指引</w:t>
      </w:r>
    </w:p>
    <w:p>
      <w:pPr>
        <w:ind w:firstLine="480"/>
      </w:pPr>
      <w:r>
        <w:rPr>
          <w:rFonts w:hint="eastAsia"/>
        </w:rPr>
        <w:t>室内站应与新建建筑同步设计、同步施工、同步验收，现状建筑结合实际情况逐步配建完善。本次规划不予布点展示，结合具体实施进行原则配置。</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完善机房</w:t>
      </w:r>
      <w:r>
        <w:rPr>
          <w:rFonts w:ascii="黑体" w:hAnsi="黑体" w:eastAsia="黑体"/>
          <w:b/>
          <w:sz w:val="28"/>
          <w:szCs w:val="28"/>
        </w:rPr>
        <w:t>和供电等</w:t>
      </w:r>
      <w:r>
        <w:rPr>
          <w:rFonts w:hint="eastAsia" w:ascii="黑体" w:hAnsi="黑体" w:eastAsia="黑体"/>
          <w:b/>
          <w:sz w:val="28"/>
          <w:szCs w:val="28"/>
        </w:rPr>
        <w:t>配套保障</w:t>
      </w:r>
    </w:p>
    <w:p>
      <w:pPr>
        <w:ind w:firstLine="480"/>
      </w:pPr>
      <w:r>
        <w:rPr>
          <w:rFonts w:hint="eastAsia"/>
        </w:rPr>
        <w:t>移动通信基础设施建设与建筑物“同步规划、同步设计、同步施工、同步验收”，开发建设企业要严格遵守相关工程界面划分的规定，将红线内“双千兆”通信配套设施纳入建设项目的设计文件，所需投资纳入建设项目概算，随建设项目同步设计、同步施工、同步验收。</w:t>
      </w:r>
    </w:p>
    <w:p>
      <w:pPr>
        <w:ind w:firstLine="480"/>
      </w:pPr>
      <w:r>
        <w:rPr>
          <w:rFonts w:hint="eastAsia"/>
        </w:rPr>
        <w:t>（1）配套机房</w:t>
      </w:r>
    </w:p>
    <w:p>
      <w:pPr>
        <w:ind w:firstLine="480"/>
      </w:pPr>
      <w:r>
        <w:rPr>
          <w:rFonts w:hint="eastAsia"/>
        </w:rPr>
        <w:t>核心机房和汇聚机房：依据《起步区市政基础设施专项规划（20</w:t>
      </w:r>
      <w:r>
        <w:t>21-2035</w:t>
      </w:r>
      <w:r>
        <w:rPr>
          <w:rFonts w:hint="eastAsia"/>
        </w:rPr>
        <w:t>年）》</w:t>
      </w:r>
      <w:r>
        <w:t>，在业务需求多、</w:t>
      </w:r>
      <w:r>
        <w:rPr>
          <w:rFonts w:hint="eastAsia"/>
        </w:rPr>
        <w:t>城市</w:t>
      </w:r>
      <w:r>
        <w:t>建设</w:t>
      </w:r>
      <w:r>
        <w:rPr>
          <w:rFonts w:hint="eastAsia"/>
        </w:rPr>
        <w:t>快</w:t>
      </w:r>
      <w:r>
        <w:t>的</w:t>
      </w:r>
      <w:r>
        <w:rPr>
          <w:rFonts w:hint="eastAsia"/>
        </w:rPr>
        <w:t>重点</w:t>
      </w:r>
      <w:r>
        <w:t>区域核心位置</w:t>
      </w:r>
      <w:r>
        <w:rPr>
          <w:rFonts w:hint="eastAsia"/>
        </w:rPr>
        <w:t>建设核心机房和汇聚机房，</w:t>
      </w:r>
      <w:r>
        <w:t>结合商业公建共同建设，</w:t>
      </w:r>
      <w:r>
        <w:rPr>
          <w:rFonts w:hint="eastAsia"/>
        </w:rPr>
        <w:t>可采用自建或自购形式</w:t>
      </w:r>
      <w:r>
        <w:t>。</w:t>
      </w:r>
    </w:p>
    <w:p>
      <w:pPr>
        <w:ind w:firstLine="480"/>
      </w:pPr>
      <w:r>
        <w:rPr>
          <w:rFonts w:hint="eastAsia"/>
        </w:rPr>
        <w:t>住宅小区、住宅建筑、商住楼、商业建筑等建设项目的建设单位、所有人、管理人或者使用人，应当为基础电信业务经营者使用区域内的配套通信设施提供平等接入和使用条件。</w:t>
      </w:r>
    </w:p>
    <w:p>
      <w:pPr>
        <w:ind w:firstLine="480"/>
      </w:pPr>
      <w:r>
        <w:rPr>
          <w:rFonts w:hint="eastAsia"/>
        </w:rPr>
        <w:t>（2）电源保障</w:t>
      </w:r>
    </w:p>
    <w:p>
      <w:pPr>
        <w:ind w:firstLine="480"/>
      </w:pPr>
      <w:r>
        <w:rPr>
          <w:rFonts w:hint="eastAsia"/>
        </w:rPr>
        <w:t>新建基站优先选择直供电，降低用电成本、提高电源可靠性。地面基站和楼面基站由城市市政电网直接提供可靠电源，城市更新与新区建设</w:t>
      </w:r>
      <w:r>
        <w:t>应预留</w:t>
      </w:r>
      <w:r>
        <w:rPr>
          <w:rFonts w:hint="eastAsia"/>
        </w:rPr>
        <w:t>基站</w:t>
      </w:r>
      <w:r>
        <w:t>市政电力接入通道</w:t>
      </w:r>
      <w:r>
        <w:rPr>
          <w:rFonts w:hint="eastAsia"/>
        </w:rPr>
        <w:t>。附属市政塔杆的基站结合所附属塔杆的电力输配线路供电。</w:t>
      </w:r>
    </w:p>
    <w:p>
      <w:pPr>
        <w:ind w:firstLine="480"/>
      </w:pPr>
      <w:r>
        <w:rPr>
          <w:rFonts w:hint="eastAsia"/>
        </w:rPr>
        <w:t>建立基站用电报装绿色通道，切实提高通信基站用电报装效率。</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做好环评备案和</w:t>
      </w:r>
      <w:r>
        <w:rPr>
          <w:rFonts w:ascii="黑体" w:hAnsi="黑体" w:eastAsia="黑体"/>
          <w:b/>
          <w:sz w:val="28"/>
          <w:szCs w:val="28"/>
        </w:rPr>
        <w:t>宣传</w:t>
      </w:r>
    </w:p>
    <w:p>
      <w:pPr>
        <w:ind w:firstLine="480"/>
      </w:pPr>
      <w:r>
        <w:t>综合考虑网络兼容、电磁强场、场地限制、市民投诉等多方面因素</w:t>
      </w:r>
      <w:r>
        <w:rPr>
          <w:rFonts w:hint="eastAsia"/>
        </w:rPr>
        <w:t>，全面实行基站项目环评备案。大力宣传</w:t>
      </w:r>
      <w:r>
        <w:t>电磁辐射等科学知识</w:t>
      </w:r>
      <w:r>
        <w:rPr>
          <w:rFonts w:hint="eastAsia"/>
        </w:rPr>
        <w:t>，减少</w:t>
      </w:r>
      <w:r>
        <w:t>社会公众对基站建设和电磁辐射</w:t>
      </w:r>
      <w:r>
        <w:rPr>
          <w:rFonts w:hint="eastAsia"/>
        </w:rPr>
        <w:t>等</w:t>
      </w:r>
      <w:r>
        <w:t>多方面的误解</w:t>
      </w:r>
      <w:r>
        <w:rPr>
          <w:rFonts w:hint="eastAsia"/>
        </w:rPr>
        <w:t>，为</w:t>
      </w:r>
      <w:r>
        <w:t>基站建设营造良好社会氛围。</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加强</w:t>
      </w:r>
      <w:r>
        <w:rPr>
          <w:rFonts w:ascii="黑体" w:hAnsi="黑体" w:eastAsia="黑体"/>
          <w:b/>
          <w:sz w:val="28"/>
          <w:szCs w:val="28"/>
        </w:rPr>
        <w:t>基站</w:t>
      </w:r>
      <w:r>
        <w:rPr>
          <w:rFonts w:hint="eastAsia" w:ascii="黑体" w:hAnsi="黑体" w:eastAsia="黑体"/>
          <w:b/>
          <w:sz w:val="28"/>
          <w:szCs w:val="28"/>
        </w:rPr>
        <w:t>建设</w:t>
      </w:r>
      <w:r>
        <w:rPr>
          <w:rFonts w:ascii="黑体" w:hAnsi="黑体" w:eastAsia="黑体"/>
          <w:b/>
          <w:sz w:val="28"/>
          <w:szCs w:val="28"/>
        </w:rPr>
        <w:t>保护</w:t>
      </w:r>
    </w:p>
    <w:p>
      <w:pPr>
        <w:ind w:firstLine="480"/>
      </w:pPr>
      <w:r>
        <w:rPr>
          <w:rFonts w:hint="eastAsia"/>
        </w:rPr>
        <w:t>加大通信基站建设和保护力度，落实基站设施迁移、损坏赔补政策，公安部门需依法查处破坏通信基站设施的违法行为。</w:t>
      </w:r>
    </w:p>
    <w:p>
      <w:pPr>
        <w:pStyle w:val="2"/>
        <w:spacing w:before="489" w:after="326"/>
      </w:pPr>
      <w:bookmarkStart w:id="7" w:name="_Toc20294946"/>
      <w:bookmarkStart w:id="8" w:name="_Toc120822308"/>
      <w:r>
        <w:rPr>
          <w:rFonts w:hint="eastAsia"/>
        </w:rPr>
        <w:t>第五章 典型应用及示范区</w:t>
      </w:r>
      <w:r>
        <w:t>建设</w:t>
      </w:r>
      <w:r>
        <w:rPr>
          <w:rFonts w:hint="eastAsia"/>
        </w:rPr>
        <w:t>指引</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应用场景划分</w:t>
      </w:r>
    </w:p>
    <w:p>
      <w:pPr>
        <w:ind w:firstLine="480"/>
      </w:pPr>
      <w:r>
        <w:rPr>
          <w:rFonts w:hint="eastAsia"/>
        </w:rPr>
        <w:t>以构建5G应用最佳实践区为目标，高标准建设5G基础网络，依托5G大宽带高速率、大规模连接、高可靠低延时的特性，高质量推进5G融合应用和5G产业创新的发展，加快推进5G网络技术与经济社会各行业领域的深度跨界融合，从民生服务类、旅游休闲类、智能生产类、交通出行类四个方面协同起步区发展重点区域，重点在智慧政务、智慧医疗、智慧教育、智慧社区、城市管理、超高清视频、智慧商城、智慧旅游、工业互联网、智慧物流、智慧农业、智能网联汽车、无人机远程应用等十三大场景率先展开5G试点示范应用，打造成为基础设施完善、应用场景丰富、生态体系健全、万物互联的5G最佳实践区，引领5G深度融合发展。</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示范区建设指引</w:t>
      </w:r>
    </w:p>
    <w:p>
      <w:pPr>
        <w:ind w:firstLine="480"/>
      </w:pPr>
      <w:r>
        <w:rPr>
          <w:rFonts w:hint="eastAsia"/>
        </w:rPr>
        <w:t>落实起步区城市副中心示范区建设任务要求，为同步支撑示范区智慧城市示范等场景建设，规划将大桥组团启动区打造为“塔城融合、风貌融合”示范区，优先示范区内5G移动通信基站建设。规划示范区内规划布局基站632座，其中改造提升基站25座，规划新建基站607座。</w:t>
      </w:r>
    </w:p>
    <w:bookmarkEnd w:id="7"/>
    <w:bookmarkEnd w:id="8"/>
    <w:p>
      <w:pPr>
        <w:pStyle w:val="2"/>
        <w:spacing w:before="489" w:after="326"/>
      </w:pPr>
      <w:bookmarkStart w:id="9" w:name="_Toc120822309"/>
      <w:r>
        <w:rPr>
          <w:rFonts w:hint="eastAsia"/>
        </w:rPr>
        <w:t>第六章 近期</w:t>
      </w:r>
      <w:r>
        <w:t>建设</w:t>
      </w:r>
      <w:r>
        <w:rPr>
          <w:rFonts w:hint="eastAsia"/>
        </w:rPr>
        <w:t>计划</w:t>
      </w:r>
      <w:bookmarkEnd w:id="9"/>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总体工作要求</w:t>
      </w:r>
    </w:p>
    <w:p>
      <w:pPr>
        <w:ind w:firstLine="480"/>
      </w:pPr>
      <w:r>
        <w:rPr>
          <w:rFonts w:hint="eastAsia"/>
        </w:rPr>
        <w:t>按照优先满足</w:t>
      </w:r>
      <w:r>
        <w:t>现状需求、</w:t>
      </w:r>
      <w:r>
        <w:rPr>
          <w:rFonts w:hint="eastAsia"/>
        </w:rPr>
        <w:t>重点推进</w:t>
      </w:r>
      <w:r>
        <w:t>示范应用</w:t>
      </w:r>
      <w:r>
        <w:rPr>
          <w:rFonts w:hint="eastAsia"/>
        </w:rPr>
        <w:t>的</w:t>
      </w:r>
      <w:r>
        <w:t>原则，</w:t>
      </w:r>
      <w:r>
        <w:rPr>
          <w:rFonts w:hint="eastAsia"/>
        </w:rPr>
        <w:t>结合起步区分区规划的近期建设要求，优先将起步区城市副中心示范区、城镇</w:t>
      </w:r>
      <w:r>
        <w:t>重点建设区</w:t>
      </w:r>
      <w:r>
        <w:rPr>
          <w:rFonts w:hint="eastAsia"/>
        </w:rPr>
        <w:t>、</w:t>
      </w:r>
      <w:r>
        <w:t>典型</w:t>
      </w:r>
      <w:r>
        <w:rPr>
          <w:rFonts w:hint="eastAsia"/>
        </w:rPr>
        <w:t>应用</w:t>
      </w:r>
      <w:r>
        <w:t>示范</w:t>
      </w:r>
      <w:r>
        <w:rPr>
          <w:rFonts w:hint="eastAsia"/>
        </w:rPr>
        <w:t>区域纳入</w:t>
      </w:r>
      <w:r>
        <w:t>基站近期建设计划</w:t>
      </w:r>
      <w:r>
        <w:rPr>
          <w:rFonts w:hint="eastAsia"/>
        </w:rPr>
        <w:t>。</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近期建设重点</w:t>
      </w:r>
    </w:p>
    <w:p>
      <w:pPr>
        <w:ind w:firstLine="480"/>
      </w:pPr>
      <w:r>
        <w:rPr>
          <w:rFonts w:hint="eastAsia"/>
        </w:rPr>
        <w:t>（1）深度覆盖现状城区</w:t>
      </w:r>
    </w:p>
    <w:p>
      <w:pPr>
        <w:ind w:firstLine="480"/>
      </w:pPr>
      <w:r>
        <w:rPr>
          <w:rFonts w:hint="eastAsia"/>
        </w:rPr>
        <w:t>针对桑梓店街道、空港街道、孙耿街道等现状城区，增加基站密度，增强5G信号强度、速度，提高服务质量。</w:t>
      </w:r>
    </w:p>
    <w:p>
      <w:pPr>
        <w:ind w:firstLine="480"/>
      </w:pPr>
      <w:r>
        <w:rPr>
          <w:rFonts w:hint="eastAsia"/>
        </w:rPr>
        <w:t>（2）优先建设重点板块</w:t>
      </w:r>
    </w:p>
    <w:p>
      <w:pPr>
        <w:ind w:firstLine="480"/>
      </w:pPr>
      <w:r>
        <w:rPr>
          <w:rFonts w:hint="eastAsia"/>
        </w:rPr>
        <w:t>优先组织起步区城市副中心示范区、崔寨、招商产业园等重点板块的5G基站建设，保证重要区域的信号质量，满足起步区产业发展的使用要求。</w:t>
      </w:r>
    </w:p>
    <w:p>
      <w:pPr>
        <w:ind w:firstLine="480"/>
      </w:pPr>
      <w:r>
        <w:rPr>
          <w:rFonts w:hint="eastAsia"/>
        </w:rPr>
        <w:t>（3）有序推进乡村地区基站建设</w:t>
      </w:r>
    </w:p>
    <w:p>
      <w:pPr>
        <w:ind w:firstLine="480"/>
      </w:pPr>
      <w:r>
        <w:rPr>
          <w:rFonts w:hint="eastAsia"/>
        </w:rPr>
        <w:t>有序推进村庄建设区及外围非建区域的5G基站建设，逐步增强乡村地区信号的质量，提升区域内5G网络服务水平。</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近期三年实施计划</w:t>
      </w:r>
    </w:p>
    <w:p>
      <w:pPr>
        <w:ind w:firstLine="480"/>
      </w:pPr>
      <w:r>
        <w:rPr>
          <w:rFonts w:hint="eastAsia"/>
        </w:rPr>
        <w:t>制定5G基站三年实施计划，规划至2026年布局基站3275座，其中新建</w:t>
      </w:r>
      <w:r>
        <w:t>基站</w:t>
      </w:r>
      <w:r>
        <w:rPr>
          <w:rFonts w:hint="eastAsia"/>
        </w:rPr>
        <w:t>1171座。按照起步区的建设时序，细化近期实施计划，2024年新建5G基站1015座，2025年新建5G基站1089座，2026年新建5G基站1171座</w:t>
      </w:r>
      <w:r>
        <w:t>。</w:t>
      </w:r>
    </w:p>
    <w:p>
      <w:pPr>
        <w:pStyle w:val="2"/>
        <w:spacing w:before="489" w:after="326"/>
      </w:pPr>
      <w:bookmarkStart w:id="10" w:name="_Toc20294947"/>
      <w:bookmarkStart w:id="11" w:name="_Toc120822310"/>
      <w:r>
        <w:rPr>
          <w:rFonts w:hint="eastAsia"/>
        </w:rPr>
        <w:t>第七章 实施保障建议</w:t>
      </w:r>
      <w:bookmarkEnd w:id="10"/>
      <w:bookmarkEnd w:id="11"/>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纳入国土空间规划</w:t>
      </w:r>
      <w:r>
        <w:rPr>
          <w:rFonts w:ascii="黑体" w:hAnsi="黑体" w:eastAsia="黑体"/>
          <w:b/>
          <w:sz w:val="28"/>
          <w:szCs w:val="28"/>
        </w:rPr>
        <w:t>体系</w:t>
      </w:r>
    </w:p>
    <w:p>
      <w:pPr>
        <w:ind w:firstLine="480"/>
      </w:pPr>
      <w:r>
        <w:rPr>
          <w:rFonts w:hint="eastAsia"/>
        </w:rPr>
        <w:t>将起步区5G移动通信基础设施专项规划成果纳入“1+4+16+N”规划体系，并推动尽快批复实施，确保专项规划有力执行、有序推进，纳入国土空间详细规划管控，并将5G移动通信基站建设要求纳入土地出让规划条件，在该土地供应后，建筑物与5G基站同步设计、同步施工、同步验收。</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纳入社区生活圈配建规范</w:t>
      </w:r>
    </w:p>
    <w:p>
      <w:pPr>
        <w:ind w:firstLine="480"/>
      </w:pPr>
      <w:r>
        <w:rPr>
          <w:rFonts w:hint="eastAsia"/>
        </w:rPr>
        <w:t>落实“数字济南”建设要求，强化数字通信基础设施配套强制性要求，建议在《起步区15分钟社区生活圈规划》“5-10分钟层级生活圈配套设施”中增加“5G通信基站”，并落实社会资源和基站资源共建共享要求。</w:t>
      </w:r>
    </w:p>
    <w:p>
      <w:pPr>
        <w:pStyle w:val="21"/>
        <w:numPr>
          <w:ilvl w:val="0"/>
          <w:numId w:val="2"/>
        </w:numPr>
        <w:ind w:firstLineChars="0"/>
        <w:rPr>
          <w:rFonts w:ascii="黑体" w:hAnsi="黑体" w:eastAsia="黑体"/>
          <w:b/>
          <w:sz w:val="28"/>
          <w:szCs w:val="28"/>
        </w:rPr>
      </w:pPr>
      <w:r>
        <w:rPr>
          <w:rFonts w:ascii="黑体" w:hAnsi="黑体" w:eastAsia="黑体"/>
          <w:b/>
          <w:sz w:val="28"/>
          <w:szCs w:val="28"/>
        </w:rPr>
        <w:t>完善</w:t>
      </w:r>
      <w:r>
        <w:rPr>
          <w:rFonts w:hint="eastAsia" w:ascii="黑体" w:hAnsi="黑体" w:eastAsia="黑体"/>
          <w:b/>
          <w:sz w:val="28"/>
          <w:szCs w:val="28"/>
        </w:rPr>
        <w:t>共建机制、实现共建共享</w:t>
      </w:r>
    </w:p>
    <w:p>
      <w:pPr>
        <w:ind w:firstLine="480"/>
      </w:pPr>
      <w:r>
        <w:rPr>
          <w:rFonts w:hint="eastAsia"/>
        </w:rPr>
        <w:t>依据《关于加快推进济南市建筑物“双千兆”通信基础设施建设的实施意见》（济信通办〔2023〕8号），各管理部门需按照建筑物“双千兆”通信基础设施建设重点措施要求，严格落实共建共享规定，加强协同配合，确保建筑物移动通信基础设施与建筑物有序融合工作高效推进。</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制定应急方案、强化安全保障</w:t>
      </w:r>
    </w:p>
    <w:p>
      <w:pPr>
        <w:ind w:firstLine="480"/>
      </w:pPr>
      <w:r>
        <w:rPr>
          <w:rFonts w:hint="eastAsia"/>
        </w:rPr>
        <w:t>完善应急通信联合保障预案，健全信息资源共享机制，加强建设安全和信息安全。进一步建立完善5G基础设施建设安全机制，严格落实施工许可制度和施工安全防范措施；结合起步区大风洪涝灾害险情预测，适时适量（建议每个街道1-3个）地开展增强型基站的建设，加强通信基础设施建设。</w:t>
      </w:r>
    </w:p>
    <w:p>
      <w:pPr>
        <w:pStyle w:val="21"/>
        <w:numPr>
          <w:ilvl w:val="0"/>
          <w:numId w:val="2"/>
        </w:numPr>
        <w:ind w:firstLineChars="0"/>
        <w:rPr>
          <w:rFonts w:ascii="黑体" w:hAnsi="黑体" w:eastAsia="黑体"/>
          <w:b/>
          <w:sz w:val="28"/>
          <w:szCs w:val="28"/>
        </w:rPr>
      </w:pPr>
      <w:r>
        <w:rPr>
          <w:rFonts w:hint="eastAsia" w:ascii="黑体" w:hAnsi="黑体" w:eastAsia="黑体"/>
          <w:b/>
          <w:sz w:val="28"/>
          <w:szCs w:val="28"/>
        </w:rPr>
        <w:t>加强推广宣传、共推5G发展</w:t>
      </w:r>
    </w:p>
    <w:p>
      <w:pPr>
        <w:ind w:firstLine="480"/>
        <w:rPr>
          <w:rStyle w:val="20"/>
          <w:rFonts w:ascii="黑体" w:hAnsi="黑体"/>
          <w:b/>
          <w:bCs/>
          <w:color w:val="auto"/>
          <w:szCs w:val="28"/>
          <w:u w:val="none"/>
        </w:rPr>
      </w:pPr>
      <w:r>
        <w:rPr>
          <w:rFonts w:hint="eastAsia"/>
        </w:rPr>
        <w:t>加大宣传推广力度，充分利用网站、广播电视、报刊、微信等主流媒介，广泛宣传5G典型应用示范场景，切实提高社会公众对5G移动通信的认知度，营造全民共推5G发展的舆论氛围。</w:t>
      </w:r>
    </w:p>
    <w:sectPr>
      <w:footerReference r:id="rId11" w:type="default"/>
      <w:pgSz w:w="11906" w:h="16838"/>
      <w:pgMar w:top="1440" w:right="1440" w:bottom="1440" w:left="1440" w:header="851" w:footer="992" w:gutter="0"/>
      <w:pgNumType w:start="1"/>
      <w:cols w:space="1734"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Liberation Serif">
    <w:altName w:val="AMGDT"/>
    <w:panose1 w:val="00000000000000000000"/>
    <w:charset w:val="00"/>
    <w:family w:val="auto"/>
    <w:pitch w:val="default"/>
    <w:sig w:usb0="00000000" w:usb1="00000000" w:usb2="00000000" w:usb3="00000000" w:csb0="00000000" w:csb1="00000000"/>
  </w:font>
  <w:font w:name="Noto Sans CJK SC Regular">
    <w:altName w:val="Times New Roman"/>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8585" w:firstLine="360"/>
      <w:jc w:val="right"/>
    </w:pPr>
  </w:p>
  <w:p>
    <w:pPr>
      <w:pStyle w:val="11"/>
      <w:ind w:left="8585"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8585"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8585"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8838861"/>
    </w:sdtPr>
    <w:sdtEndPr>
      <w:rPr>
        <w:rFonts w:cs="Times New Roman"/>
        <w:sz w:val="20"/>
        <w:szCs w:val="20"/>
      </w:rPr>
    </w:sdtEndPr>
    <w:sdtContent>
      <w:p>
        <w:pPr>
          <w:pStyle w:val="11"/>
          <w:ind w:firstLine="0" w:firstLineChars="0"/>
          <w:jc w:val="center"/>
          <w:rPr>
            <w:rFonts w:cs="Times New Roman"/>
            <w:sz w:val="20"/>
            <w:szCs w:val="20"/>
          </w:rPr>
        </w:pPr>
        <w:r>
          <w:rPr>
            <w:rFonts w:cs="Times New Roman"/>
            <w:sz w:val="20"/>
            <w:szCs w:val="20"/>
          </w:rPr>
          <w:fldChar w:fldCharType="begin"/>
        </w:r>
        <w:r>
          <w:rPr>
            <w:rFonts w:cs="Times New Roman"/>
            <w:sz w:val="20"/>
            <w:szCs w:val="20"/>
          </w:rPr>
          <w:instrText xml:space="preserve">PAGE   \* MERGEFORMAT</w:instrText>
        </w:r>
        <w:r>
          <w:rPr>
            <w:rFonts w:cs="Times New Roman"/>
            <w:sz w:val="20"/>
            <w:szCs w:val="20"/>
          </w:rPr>
          <w:fldChar w:fldCharType="separate"/>
        </w:r>
        <w:r>
          <w:rPr>
            <w:rFonts w:cs="Times New Roman"/>
            <w:sz w:val="20"/>
            <w:szCs w:val="20"/>
            <w:lang w:val="zh-CN"/>
          </w:rPr>
          <w:t>5</w:t>
        </w:r>
        <w:r>
          <w:rPr>
            <w:rFonts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jc w:val="right"/>
    </w:pPr>
  </w:p>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585"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8585"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E1028"/>
    <w:multiLevelType w:val="multilevel"/>
    <w:tmpl w:val="015E1028"/>
    <w:lvl w:ilvl="0" w:tentative="0">
      <w:start w:val="1"/>
      <w:numFmt w:val="chineseCountingThousand"/>
      <w:pStyle w:val="5"/>
      <w:lvlText w:val="%1、"/>
      <w:lvlJc w:val="left"/>
      <w:pPr>
        <w:ind w:left="9567" w:hanging="420"/>
      </w:pPr>
      <w:rPr>
        <w:rFonts w:hint="eastAsia" w:eastAsia="黑体"/>
        <w:b w:val="0"/>
        <w:i w:val="0"/>
        <w:spacing w:val="0"/>
        <w:w w:val="100"/>
        <w:position w:val="0"/>
        <w:sz w:val="32"/>
      </w:rPr>
    </w:lvl>
    <w:lvl w:ilvl="1" w:tentative="0">
      <w:start w:val="1"/>
      <w:numFmt w:val="lowerLetter"/>
      <w:lvlText w:val="%2)"/>
      <w:lvlJc w:val="left"/>
      <w:pPr>
        <w:ind w:left="9987" w:hanging="420"/>
      </w:pPr>
    </w:lvl>
    <w:lvl w:ilvl="2" w:tentative="0">
      <w:start w:val="1"/>
      <w:numFmt w:val="lowerRoman"/>
      <w:lvlText w:val="%3."/>
      <w:lvlJc w:val="right"/>
      <w:pPr>
        <w:ind w:left="10407" w:hanging="420"/>
      </w:pPr>
    </w:lvl>
    <w:lvl w:ilvl="3" w:tentative="0">
      <w:start w:val="1"/>
      <w:numFmt w:val="decimal"/>
      <w:lvlText w:val="%4."/>
      <w:lvlJc w:val="left"/>
      <w:pPr>
        <w:ind w:left="10827" w:hanging="420"/>
      </w:pPr>
    </w:lvl>
    <w:lvl w:ilvl="4" w:tentative="0">
      <w:start w:val="1"/>
      <w:numFmt w:val="lowerLetter"/>
      <w:lvlText w:val="%5)"/>
      <w:lvlJc w:val="left"/>
      <w:pPr>
        <w:ind w:left="11247" w:hanging="420"/>
      </w:pPr>
    </w:lvl>
    <w:lvl w:ilvl="5" w:tentative="0">
      <w:start w:val="1"/>
      <w:numFmt w:val="lowerRoman"/>
      <w:lvlText w:val="%6."/>
      <w:lvlJc w:val="right"/>
      <w:pPr>
        <w:ind w:left="11667" w:hanging="420"/>
      </w:pPr>
    </w:lvl>
    <w:lvl w:ilvl="6" w:tentative="0">
      <w:start w:val="1"/>
      <w:numFmt w:val="decimal"/>
      <w:lvlText w:val="%7."/>
      <w:lvlJc w:val="left"/>
      <w:pPr>
        <w:ind w:left="12087" w:hanging="420"/>
      </w:pPr>
    </w:lvl>
    <w:lvl w:ilvl="7" w:tentative="0">
      <w:start w:val="1"/>
      <w:numFmt w:val="lowerLetter"/>
      <w:lvlText w:val="%8)"/>
      <w:lvlJc w:val="left"/>
      <w:pPr>
        <w:ind w:left="12507" w:hanging="420"/>
      </w:pPr>
    </w:lvl>
    <w:lvl w:ilvl="8" w:tentative="0">
      <w:start w:val="1"/>
      <w:numFmt w:val="lowerRoman"/>
      <w:lvlText w:val="%9."/>
      <w:lvlJc w:val="right"/>
      <w:pPr>
        <w:ind w:left="12927" w:hanging="420"/>
      </w:pPr>
    </w:lvl>
  </w:abstractNum>
  <w:abstractNum w:abstractNumId="1">
    <w:nsid w:val="659E3103"/>
    <w:multiLevelType w:val="multilevel"/>
    <w:tmpl w:val="659E3103"/>
    <w:lvl w:ilvl="0" w:tentative="0">
      <w:start w:val="1"/>
      <w:numFmt w:val="decimal"/>
      <w:lvlText w:val="第%1条"/>
      <w:lvlJc w:val="left"/>
      <w:pPr>
        <w:ind w:left="1002"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hideSpellingError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xODg3ZGNiYmVkZjRiOWI1OGYyZWY0ZTA0NTYzMmMifQ=="/>
  </w:docVars>
  <w:rsids>
    <w:rsidRoot w:val="00172A27"/>
    <w:rsid w:val="00000A52"/>
    <w:rsid w:val="00002238"/>
    <w:rsid w:val="00006990"/>
    <w:rsid w:val="000104F2"/>
    <w:rsid w:val="00013FBE"/>
    <w:rsid w:val="00016090"/>
    <w:rsid w:val="00016B64"/>
    <w:rsid w:val="0002541D"/>
    <w:rsid w:val="00033A15"/>
    <w:rsid w:val="00033C81"/>
    <w:rsid w:val="00036A61"/>
    <w:rsid w:val="000372B8"/>
    <w:rsid w:val="000452B2"/>
    <w:rsid w:val="000511F9"/>
    <w:rsid w:val="0005232A"/>
    <w:rsid w:val="000569F4"/>
    <w:rsid w:val="00060248"/>
    <w:rsid w:val="00064096"/>
    <w:rsid w:val="00071145"/>
    <w:rsid w:val="00074097"/>
    <w:rsid w:val="00081FC9"/>
    <w:rsid w:val="00084EFF"/>
    <w:rsid w:val="00086EB2"/>
    <w:rsid w:val="00093F81"/>
    <w:rsid w:val="000A075E"/>
    <w:rsid w:val="000A0C66"/>
    <w:rsid w:val="000B6B3B"/>
    <w:rsid w:val="000C42BF"/>
    <w:rsid w:val="000D05BB"/>
    <w:rsid w:val="000D354E"/>
    <w:rsid w:val="000D4A7E"/>
    <w:rsid w:val="000E0B7A"/>
    <w:rsid w:val="00103292"/>
    <w:rsid w:val="001039E2"/>
    <w:rsid w:val="001073EB"/>
    <w:rsid w:val="001106FB"/>
    <w:rsid w:val="001128C5"/>
    <w:rsid w:val="00122F4F"/>
    <w:rsid w:val="0013207D"/>
    <w:rsid w:val="0015529B"/>
    <w:rsid w:val="00156FF3"/>
    <w:rsid w:val="00162205"/>
    <w:rsid w:val="00165082"/>
    <w:rsid w:val="00170022"/>
    <w:rsid w:val="00172A27"/>
    <w:rsid w:val="001742D3"/>
    <w:rsid w:val="00182849"/>
    <w:rsid w:val="00187ABA"/>
    <w:rsid w:val="00192090"/>
    <w:rsid w:val="00194034"/>
    <w:rsid w:val="00197387"/>
    <w:rsid w:val="001B0ABC"/>
    <w:rsid w:val="001B18D3"/>
    <w:rsid w:val="001B750A"/>
    <w:rsid w:val="001B7F25"/>
    <w:rsid w:val="001C0763"/>
    <w:rsid w:val="001C0A7C"/>
    <w:rsid w:val="001C142B"/>
    <w:rsid w:val="001C39B9"/>
    <w:rsid w:val="001C39D4"/>
    <w:rsid w:val="001D0780"/>
    <w:rsid w:val="001D0842"/>
    <w:rsid w:val="001E16BA"/>
    <w:rsid w:val="001E288C"/>
    <w:rsid w:val="001E2EAA"/>
    <w:rsid w:val="001E4F08"/>
    <w:rsid w:val="001E5B8A"/>
    <w:rsid w:val="001E5BA4"/>
    <w:rsid w:val="001F22A6"/>
    <w:rsid w:val="001F2379"/>
    <w:rsid w:val="001F4A1A"/>
    <w:rsid w:val="001F719C"/>
    <w:rsid w:val="00200EDC"/>
    <w:rsid w:val="00202752"/>
    <w:rsid w:val="00204565"/>
    <w:rsid w:val="00206448"/>
    <w:rsid w:val="00206900"/>
    <w:rsid w:val="00217903"/>
    <w:rsid w:val="0022436B"/>
    <w:rsid w:val="002248AE"/>
    <w:rsid w:val="0022598C"/>
    <w:rsid w:val="002265B9"/>
    <w:rsid w:val="002505F5"/>
    <w:rsid w:val="002509B1"/>
    <w:rsid w:val="002519C7"/>
    <w:rsid w:val="00257357"/>
    <w:rsid w:val="00265C92"/>
    <w:rsid w:val="00267FE5"/>
    <w:rsid w:val="002808E5"/>
    <w:rsid w:val="002838E0"/>
    <w:rsid w:val="002947DA"/>
    <w:rsid w:val="002A30DF"/>
    <w:rsid w:val="002A4C04"/>
    <w:rsid w:val="002A6ADF"/>
    <w:rsid w:val="002B3FC1"/>
    <w:rsid w:val="002B4367"/>
    <w:rsid w:val="002B4AB1"/>
    <w:rsid w:val="002E1623"/>
    <w:rsid w:val="002F1BBA"/>
    <w:rsid w:val="002F63A2"/>
    <w:rsid w:val="0030658B"/>
    <w:rsid w:val="00316B65"/>
    <w:rsid w:val="003179F2"/>
    <w:rsid w:val="00325849"/>
    <w:rsid w:val="00327BF6"/>
    <w:rsid w:val="00334CF7"/>
    <w:rsid w:val="00336719"/>
    <w:rsid w:val="00340378"/>
    <w:rsid w:val="003416B9"/>
    <w:rsid w:val="0034259C"/>
    <w:rsid w:val="00344AC1"/>
    <w:rsid w:val="00346308"/>
    <w:rsid w:val="00357D8A"/>
    <w:rsid w:val="0036059D"/>
    <w:rsid w:val="003626B7"/>
    <w:rsid w:val="00364FE6"/>
    <w:rsid w:val="00374EAF"/>
    <w:rsid w:val="00376BA0"/>
    <w:rsid w:val="00380441"/>
    <w:rsid w:val="003811F3"/>
    <w:rsid w:val="00382669"/>
    <w:rsid w:val="003A5079"/>
    <w:rsid w:val="003A72C1"/>
    <w:rsid w:val="003B09E2"/>
    <w:rsid w:val="003C050E"/>
    <w:rsid w:val="003C244E"/>
    <w:rsid w:val="003D01EA"/>
    <w:rsid w:val="003E1F1F"/>
    <w:rsid w:val="003E3A69"/>
    <w:rsid w:val="003E72DC"/>
    <w:rsid w:val="003F2421"/>
    <w:rsid w:val="003F26B7"/>
    <w:rsid w:val="003F7DCA"/>
    <w:rsid w:val="00400A00"/>
    <w:rsid w:val="004035EB"/>
    <w:rsid w:val="004166D9"/>
    <w:rsid w:val="00416783"/>
    <w:rsid w:val="00416B39"/>
    <w:rsid w:val="00416E88"/>
    <w:rsid w:val="00427DE2"/>
    <w:rsid w:val="00430772"/>
    <w:rsid w:val="004324C8"/>
    <w:rsid w:val="00443EDA"/>
    <w:rsid w:val="00451987"/>
    <w:rsid w:val="0045473F"/>
    <w:rsid w:val="00455EDB"/>
    <w:rsid w:val="00456C1A"/>
    <w:rsid w:val="004748B3"/>
    <w:rsid w:val="0048086A"/>
    <w:rsid w:val="00483532"/>
    <w:rsid w:val="00485A75"/>
    <w:rsid w:val="00491E32"/>
    <w:rsid w:val="00494FF6"/>
    <w:rsid w:val="004A38EF"/>
    <w:rsid w:val="004A544E"/>
    <w:rsid w:val="004A6F5D"/>
    <w:rsid w:val="004B1EBA"/>
    <w:rsid w:val="004B48AB"/>
    <w:rsid w:val="004B7F6E"/>
    <w:rsid w:val="004C14F2"/>
    <w:rsid w:val="004C412A"/>
    <w:rsid w:val="004E096F"/>
    <w:rsid w:val="004E105E"/>
    <w:rsid w:val="004E223D"/>
    <w:rsid w:val="004F1E66"/>
    <w:rsid w:val="004F31D9"/>
    <w:rsid w:val="005053B5"/>
    <w:rsid w:val="00511845"/>
    <w:rsid w:val="00517B62"/>
    <w:rsid w:val="005202BB"/>
    <w:rsid w:val="00527F51"/>
    <w:rsid w:val="00532755"/>
    <w:rsid w:val="005328CD"/>
    <w:rsid w:val="005416AC"/>
    <w:rsid w:val="00541FD2"/>
    <w:rsid w:val="00542DA6"/>
    <w:rsid w:val="00543B68"/>
    <w:rsid w:val="0054549B"/>
    <w:rsid w:val="005469BB"/>
    <w:rsid w:val="005575C9"/>
    <w:rsid w:val="0056125A"/>
    <w:rsid w:val="00567581"/>
    <w:rsid w:val="0057152E"/>
    <w:rsid w:val="005754BB"/>
    <w:rsid w:val="005839E5"/>
    <w:rsid w:val="00584BE6"/>
    <w:rsid w:val="005902C5"/>
    <w:rsid w:val="00590CCC"/>
    <w:rsid w:val="0059632B"/>
    <w:rsid w:val="00596F42"/>
    <w:rsid w:val="0059751C"/>
    <w:rsid w:val="005A0585"/>
    <w:rsid w:val="005A25DB"/>
    <w:rsid w:val="005B1D7C"/>
    <w:rsid w:val="005B3F54"/>
    <w:rsid w:val="005B7D28"/>
    <w:rsid w:val="005C6C5C"/>
    <w:rsid w:val="005E49AC"/>
    <w:rsid w:val="005F37FC"/>
    <w:rsid w:val="00601AF5"/>
    <w:rsid w:val="0061235E"/>
    <w:rsid w:val="0061724E"/>
    <w:rsid w:val="006218DF"/>
    <w:rsid w:val="006274A2"/>
    <w:rsid w:val="00630696"/>
    <w:rsid w:val="006337FE"/>
    <w:rsid w:val="00641C30"/>
    <w:rsid w:val="00642034"/>
    <w:rsid w:val="006469A0"/>
    <w:rsid w:val="0065057F"/>
    <w:rsid w:val="00653D7C"/>
    <w:rsid w:val="00660AF4"/>
    <w:rsid w:val="00664437"/>
    <w:rsid w:val="00666FD6"/>
    <w:rsid w:val="00680D0F"/>
    <w:rsid w:val="006A0D91"/>
    <w:rsid w:val="006A6AB3"/>
    <w:rsid w:val="006A76B1"/>
    <w:rsid w:val="006B15D7"/>
    <w:rsid w:val="006B5D61"/>
    <w:rsid w:val="006C0F4B"/>
    <w:rsid w:val="006C282A"/>
    <w:rsid w:val="006C433C"/>
    <w:rsid w:val="006C51F8"/>
    <w:rsid w:val="006C7F84"/>
    <w:rsid w:val="006D2363"/>
    <w:rsid w:val="006D3913"/>
    <w:rsid w:val="006D41B0"/>
    <w:rsid w:val="006D4B5D"/>
    <w:rsid w:val="00702EB0"/>
    <w:rsid w:val="007066EF"/>
    <w:rsid w:val="00706B4E"/>
    <w:rsid w:val="00716C6E"/>
    <w:rsid w:val="00720041"/>
    <w:rsid w:val="00724D65"/>
    <w:rsid w:val="007301FA"/>
    <w:rsid w:val="00742E58"/>
    <w:rsid w:val="007451AC"/>
    <w:rsid w:val="00746113"/>
    <w:rsid w:val="00750FCE"/>
    <w:rsid w:val="0075658D"/>
    <w:rsid w:val="00757A7F"/>
    <w:rsid w:val="0079076B"/>
    <w:rsid w:val="007A2C9C"/>
    <w:rsid w:val="007A539C"/>
    <w:rsid w:val="007A57F8"/>
    <w:rsid w:val="007B3E88"/>
    <w:rsid w:val="007B638B"/>
    <w:rsid w:val="007B710F"/>
    <w:rsid w:val="007B74F5"/>
    <w:rsid w:val="007C218E"/>
    <w:rsid w:val="007C4C33"/>
    <w:rsid w:val="007C7E5B"/>
    <w:rsid w:val="007E0C76"/>
    <w:rsid w:val="007E34F4"/>
    <w:rsid w:val="007E5501"/>
    <w:rsid w:val="007F133B"/>
    <w:rsid w:val="0080516E"/>
    <w:rsid w:val="0081160E"/>
    <w:rsid w:val="0082075C"/>
    <w:rsid w:val="0083144E"/>
    <w:rsid w:val="00835077"/>
    <w:rsid w:val="00840117"/>
    <w:rsid w:val="00851C5F"/>
    <w:rsid w:val="008521BD"/>
    <w:rsid w:val="00852FCA"/>
    <w:rsid w:val="00855E84"/>
    <w:rsid w:val="008610FA"/>
    <w:rsid w:val="00861B35"/>
    <w:rsid w:val="00863F92"/>
    <w:rsid w:val="00870D44"/>
    <w:rsid w:val="0087171C"/>
    <w:rsid w:val="008759C7"/>
    <w:rsid w:val="0089083F"/>
    <w:rsid w:val="00892450"/>
    <w:rsid w:val="0089350E"/>
    <w:rsid w:val="008A2D59"/>
    <w:rsid w:val="008A623D"/>
    <w:rsid w:val="008B254D"/>
    <w:rsid w:val="008C39C7"/>
    <w:rsid w:val="008C5F06"/>
    <w:rsid w:val="008C74A9"/>
    <w:rsid w:val="008D201A"/>
    <w:rsid w:val="008D36A7"/>
    <w:rsid w:val="008D3D70"/>
    <w:rsid w:val="008D73CF"/>
    <w:rsid w:val="008E5FEB"/>
    <w:rsid w:val="008F70F3"/>
    <w:rsid w:val="00902E31"/>
    <w:rsid w:val="00912478"/>
    <w:rsid w:val="00920892"/>
    <w:rsid w:val="0092468D"/>
    <w:rsid w:val="009318C2"/>
    <w:rsid w:val="00932116"/>
    <w:rsid w:val="009345C1"/>
    <w:rsid w:val="009425B6"/>
    <w:rsid w:val="00957D44"/>
    <w:rsid w:val="00965545"/>
    <w:rsid w:val="00967A2D"/>
    <w:rsid w:val="00972418"/>
    <w:rsid w:val="00974008"/>
    <w:rsid w:val="0098402D"/>
    <w:rsid w:val="0099045C"/>
    <w:rsid w:val="0099604F"/>
    <w:rsid w:val="009C7156"/>
    <w:rsid w:val="009E7981"/>
    <w:rsid w:val="009E7E2F"/>
    <w:rsid w:val="009F064A"/>
    <w:rsid w:val="009F3B4F"/>
    <w:rsid w:val="00A15882"/>
    <w:rsid w:val="00A2109E"/>
    <w:rsid w:val="00A21BA5"/>
    <w:rsid w:val="00A4463A"/>
    <w:rsid w:val="00A65347"/>
    <w:rsid w:val="00A72DC2"/>
    <w:rsid w:val="00A74CBB"/>
    <w:rsid w:val="00A75BF8"/>
    <w:rsid w:val="00A91570"/>
    <w:rsid w:val="00A974DB"/>
    <w:rsid w:val="00AB078F"/>
    <w:rsid w:val="00AC0BA7"/>
    <w:rsid w:val="00AC0C85"/>
    <w:rsid w:val="00AC38AE"/>
    <w:rsid w:val="00AC704E"/>
    <w:rsid w:val="00AD72FC"/>
    <w:rsid w:val="00AF71B8"/>
    <w:rsid w:val="00B0299D"/>
    <w:rsid w:val="00B06CB7"/>
    <w:rsid w:val="00B23836"/>
    <w:rsid w:val="00B3232E"/>
    <w:rsid w:val="00B35623"/>
    <w:rsid w:val="00B36AA6"/>
    <w:rsid w:val="00B534DE"/>
    <w:rsid w:val="00B5665B"/>
    <w:rsid w:val="00B737DC"/>
    <w:rsid w:val="00B858EC"/>
    <w:rsid w:val="00B85DFB"/>
    <w:rsid w:val="00B90BB6"/>
    <w:rsid w:val="00B946B8"/>
    <w:rsid w:val="00BB6403"/>
    <w:rsid w:val="00BB6E66"/>
    <w:rsid w:val="00BC0678"/>
    <w:rsid w:val="00BC1AF4"/>
    <w:rsid w:val="00BC78A6"/>
    <w:rsid w:val="00BD2F30"/>
    <w:rsid w:val="00BD53F1"/>
    <w:rsid w:val="00BF3165"/>
    <w:rsid w:val="00C0040F"/>
    <w:rsid w:val="00C11DCF"/>
    <w:rsid w:val="00C179FC"/>
    <w:rsid w:val="00C23F75"/>
    <w:rsid w:val="00C2706F"/>
    <w:rsid w:val="00C34284"/>
    <w:rsid w:val="00C34B90"/>
    <w:rsid w:val="00C3610B"/>
    <w:rsid w:val="00C51262"/>
    <w:rsid w:val="00C530B9"/>
    <w:rsid w:val="00C60D08"/>
    <w:rsid w:val="00C618B2"/>
    <w:rsid w:val="00C62746"/>
    <w:rsid w:val="00C631ED"/>
    <w:rsid w:val="00C6391F"/>
    <w:rsid w:val="00C65DBD"/>
    <w:rsid w:val="00C82128"/>
    <w:rsid w:val="00C86001"/>
    <w:rsid w:val="00C93714"/>
    <w:rsid w:val="00C93894"/>
    <w:rsid w:val="00C979C8"/>
    <w:rsid w:val="00CB523C"/>
    <w:rsid w:val="00CC206F"/>
    <w:rsid w:val="00CC2768"/>
    <w:rsid w:val="00CC5071"/>
    <w:rsid w:val="00CD3473"/>
    <w:rsid w:val="00CD5F54"/>
    <w:rsid w:val="00CE1DD0"/>
    <w:rsid w:val="00CE3E13"/>
    <w:rsid w:val="00CE4E7B"/>
    <w:rsid w:val="00CF1888"/>
    <w:rsid w:val="00D2010D"/>
    <w:rsid w:val="00D20CD3"/>
    <w:rsid w:val="00D23D6F"/>
    <w:rsid w:val="00D25E0E"/>
    <w:rsid w:val="00D274D9"/>
    <w:rsid w:val="00D31868"/>
    <w:rsid w:val="00D361EB"/>
    <w:rsid w:val="00D45E9A"/>
    <w:rsid w:val="00D45EFD"/>
    <w:rsid w:val="00D53B98"/>
    <w:rsid w:val="00D53EB9"/>
    <w:rsid w:val="00D555B9"/>
    <w:rsid w:val="00D55CC2"/>
    <w:rsid w:val="00D629C9"/>
    <w:rsid w:val="00D66E49"/>
    <w:rsid w:val="00D67C5C"/>
    <w:rsid w:val="00D72F13"/>
    <w:rsid w:val="00D736EE"/>
    <w:rsid w:val="00D7746C"/>
    <w:rsid w:val="00D835D9"/>
    <w:rsid w:val="00D87621"/>
    <w:rsid w:val="00D91763"/>
    <w:rsid w:val="00D95CC0"/>
    <w:rsid w:val="00D969EB"/>
    <w:rsid w:val="00DA0D4C"/>
    <w:rsid w:val="00DB36EA"/>
    <w:rsid w:val="00DC1490"/>
    <w:rsid w:val="00DC1538"/>
    <w:rsid w:val="00DD1D97"/>
    <w:rsid w:val="00DD50FE"/>
    <w:rsid w:val="00DD65A2"/>
    <w:rsid w:val="00DE375C"/>
    <w:rsid w:val="00DF0ECF"/>
    <w:rsid w:val="00E0400B"/>
    <w:rsid w:val="00E05CCA"/>
    <w:rsid w:val="00E0718B"/>
    <w:rsid w:val="00E078C6"/>
    <w:rsid w:val="00E12A79"/>
    <w:rsid w:val="00E138B0"/>
    <w:rsid w:val="00E158FB"/>
    <w:rsid w:val="00E24ED6"/>
    <w:rsid w:val="00E2774A"/>
    <w:rsid w:val="00E37002"/>
    <w:rsid w:val="00E44BAE"/>
    <w:rsid w:val="00E45E57"/>
    <w:rsid w:val="00E5345B"/>
    <w:rsid w:val="00E632DF"/>
    <w:rsid w:val="00E73E8E"/>
    <w:rsid w:val="00E83B1F"/>
    <w:rsid w:val="00E848DC"/>
    <w:rsid w:val="00E84F10"/>
    <w:rsid w:val="00E925FE"/>
    <w:rsid w:val="00EA0052"/>
    <w:rsid w:val="00EA3CEC"/>
    <w:rsid w:val="00EA60E2"/>
    <w:rsid w:val="00EA6C6C"/>
    <w:rsid w:val="00EB04CA"/>
    <w:rsid w:val="00EB066D"/>
    <w:rsid w:val="00EC01B0"/>
    <w:rsid w:val="00EC7767"/>
    <w:rsid w:val="00EC7E13"/>
    <w:rsid w:val="00ED2A06"/>
    <w:rsid w:val="00EE5E91"/>
    <w:rsid w:val="00F070DD"/>
    <w:rsid w:val="00F07865"/>
    <w:rsid w:val="00F2068E"/>
    <w:rsid w:val="00F244BE"/>
    <w:rsid w:val="00F27BE7"/>
    <w:rsid w:val="00F55B91"/>
    <w:rsid w:val="00F6723F"/>
    <w:rsid w:val="00F73EDF"/>
    <w:rsid w:val="00F76F76"/>
    <w:rsid w:val="00F821C1"/>
    <w:rsid w:val="00F825A5"/>
    <w:rsid w:val="00F8304A"/>
    <w:rsid w:val="00F8363F"/>
    <w:rsid w:val="00F83C80"/>
    <w:rsid w:val="00F95AC8"/>
    <w:rsid w:val="00F967C3"/>
    <w:rsid w:val="00FA6E12"/>
    <w:rsid w:val="00FB3BAD"/>
    <w:rsid w:val="00FC788B"/>
    <w:rsid w:val="00FD061B"/>
    <w:rsid w:val="00FE0E4D"/>
    <w:rsid w:val="00FF654E"/>
    <w:rsid w:val="00FF7AC3"/>
    <w:rsid w:val="0D2F145E"/>
    <w:rsid w:val="168D68A7"/>
    <w:rsid w:val="23C87D5D"/>
    <w:rsid w:val="2B633557"/>
    <w:rsid w:val="3B3C5711"/>
    <w:rsid w:val="3B445679"/>
    <w:rsid w:val="3C7035A3"/>
    <w:rsid w:val="42054245"/>
    <w:rsid w:val="60465003"/>
    <w:rsid w:val="6BCC44DD"/>
    <w:rsid w:val="7765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heme="minorBidi"/>
      <w:kern w:val="2"/>
      <w:sz w:val="24"/>
      <w:szCs w:val="22"/>
      <w:lang w:val="en-US" w:eastAsia="zh-CN" w:bidi="ar-SA"/>
    </w:rPr>
  </w:style>
  <w:style w:type="paragraph" w:styleId="2">
    <w:name w:val="heading 1"/>
    <w:basedOn w:val="1"/>
    <w:next w:val="1"/>
    <w:link w:val="25"/>
    <w:qFormat/>
    <w:uiPriority w:val="9"/>
    <w:pPr>
      <w:keepNext/>
      <w:keepLines/>
      <w:spacing w:before="150" w:beforeLines="150" w:after="100" w:afterLines="100" w:line="480" w:lineRule="auto"/>
      <w:ind w:firstLine="0" w:firstLineChars="0"/>
      <w:jc w:val="center"/>
      <w:outlineLvl w:val="0"/>
    </w:pPr>
    <w:rPr>
      <w:rFonts w:eastAsia="黑体"/>
      <w:b/>
      <w:bCs/>
      <w:kern w:val="44"/>
      <w:sz w:val="36"/>
      <w:szCs w:val="44"/>
    </w:rPr>
  </w:style>
  <w:style w:type="paragraph" w:styleId="3">
    <w:name w:val="heading 2"/>
    <w:basedOn w:val="1"/>
    <w:next w:val="1"/>
    <w:link w:val="26"/>
    <w:unhideWhenUsed/>
    <w:qFormat/>
    <w:uiPriority w:val="0"/>
    <w:pPr>
      <w:keepNext/>
      <w:keepLines/>
      <w:adjustRightInd w:val="0"/>
      <w:spacing w:line="720" w:lineRule="auto"/>
      <w:outlineLvl w:val="1"/>
    </w:pPr>
    <w:rPr>
      <w:rFonts w:eastAsia="黑体" w:asciiTheme="majorHAnsi" w:hAnsiTheme="majorHAnsi" w:cstheme="majorBidi"/>
      <w:b/>
      <w:bCs/>
      <w:sz w:val="28"/>
      <w:szCs w:val="32"/>
    </w:rPr>
  </w:style>
  <w:style w:type="paragraph" w:styleId="4">
    <w:name w:val="heading 3"/>
    <w:basedOn w:val="1"/>
    <w:next w:val="1"/>
    <w:link w:val="28"/>
    <w:unhideWhenUsed/>
    <w:qFormat/>
    <w:uiPriority w:val="0"/>
    <w:pPr>
      <w:keepNext/>
      <w:keepLines/>
      <w:spacing w:line="480" w:lineRule="auto"/>
      <w:ind w:left="200" w:leftChars="200" w:firstLine="0" w:firstLineChars="0"/>
      <w:outlineLvl w:val="2"/>
    </w:pPr>
    <w:rPr>
      <w:rFonts w:eastAsia="微软雅黑"/>
      <w:b/>
      <w:bCs/>
      <w:sz w:val="28"/>
      <w:szCs w:val="32"/>
    </w:rPr>
  </w:style>
  <w:style w:type="paragraph" w:styleId="5">
    <w:name w:val="heading 4"/>
    <w:basedOn w:val="1"/>
    <w:next w:val="1"/>
    <w:link w:val="29"/>
    <w:unhideWhenUsed/>
    <w:qFormat/>
    <w:uiPriority w:val="9"/>
    <w:pPr>
      <w:keepNext/>
      <w:keepLines/>
      <w:numPr>
        <w:ilvl w:val="0"/>
        <w:numId w:val="1"/>
      </w:numPr>
      <w:spacing w:line="720" w:lineRule="auto"/>
      <w:ind w:left="0" w:firstLine="0" w:firstLineChars="0"/>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Document Map"/>
    <w:basedOn w:val="1"/>
    <w:link w:val="27"/>
    <w:semiHidden/>
    <w:unhideWhenUsed/>
    <w:qFormat/>
    <w:uiPriority w:val="99"/>
    <w:rPr>
      <w:rFonts w:ascii="宋体" w:eastAsia="宋体"/>
      <w:sz w:val="18"/>
      <w:szCs w:val="18"/>
    </w:rPr>
  </w:style>
  <w:style w:type="paragraph" w:styleId="8">
    <w:name w:val="Plain Text"/>
    <w:basedOn w:val="1"/>
    <w:link w:val="34"/>
    <w:unhideWhenUsed/>
    <w:qFormat/>
    <w:uiPriority w:val="99"/>
    <w:pPr>
      <w:spacing w:line="240" w:lineRule="auto"/>
      <w:ind w:firstLine="0" w:firstLineChars="0"/>
    </w:pPr>
    <w:rPr>
      <w:rFonts w:ascii="宋体" w:hAnsi="Courier New" w:eastAsia="宋体" w:cs="宋体"/>
      <w:sz w:val="21"/>
      <w:szCs w:val="21"/>
    </w:rPr>
  </w:style>
  <w:style w:type="paragraph" w:styleId="9">
    <w:name w:val="Body Text Indent 2"/>
    <w:basedOn w:val="1"/>
    <w:link w:val="32"/>
    <w:unhideWhenUsed/>
    <w:qFormat/>
    <w:uiPriority w:val="99"/>
    <w:pPr>
      <w:spacing w:line="420" w:lineRule="exact"/>
      <w:ind w:firstLine="480"/>
    </w:pPr>
    <w:rPr>
      <w:rFonts w:eastAsia="宋体" w:cs="Times New Roman"/>
      <w:szCs w:val="24"/>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ind w:firstLine="0" w:firstLineChars="0"/>
      <w:jc w:val="center"/>
    </w:pPr>
    <w:rPr>
      <w:sz w:val="18"/>
      <w:szCs w:val="18"/>
    </w:rPr>
  </w:style>
  <w:style w:type="paragraph" w:styleId="13">
    <w:name w:val="toc 1"/>
    <w:basedOn w:val="1"/>
    <w:next w:val="1"/>
    <w:unhideWhenUsed/>
    <w:qFormat/>
    <w:uiPriority w:val="39"/>
    <w:pPr>
      <w:spacing w:before="50" w:beforeLines="50" w:line="480" w:lineRule="auto"/>
      <w:ind w:left="201" w:hanging="201" w:hangingChars="201"/>
    </w:pPr>
    <w:rPr>
      <w:rFonts w:eastAsia="黑体"/>
      <w:b/>
      <w:sz w:val="28"/>
    </w:rPr>
  </w:style>
  <w:style w:type="paragraph" w:styleId="14">
    <w:name w:val="toc 2"/>
    <w:basedOn w:val="1"/>
    <w:next w:val="1"/>
    <w:link w:val="43"/>
    <w:unhideWhenUsed/>
    <w:qFormat/>
    <w:uiPriority w:val="39"/>
    <w:pPr>
      <w:spacing w:before="50" w:beforeLines="50" w:line="480" w:lineRule="auto"/>
      <w:ind w:firstLine="0" w:firstLineChars="0"/>
    </w:pPr>
    <w:rPr>
      <w:rFonts w:eastAsia="黑体"/>
      <w:sz w:val="28"/>
    </w:rPr>
  </w:style>
  <w:style w:type="paragraph" w:styleId="1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paragraph" w:styleId="21">
    <w:name w:val="List Paragraph"/>
    <w:basedOn w:val="1"/>
    <w:qFormat/>
    <w:uiPriority w:val="34"/>
    <w:pPr>
      <w:ind w:firstLine="420"/>
    </w:pPr>
  </w:style>
  <w:style w:type="character" w:customStyle="1" w:styleId="22">
    <w:name w:val="页眉 字符"/>
    <w:basedOn w:val="18"/>
    <w:link w:val="12"/>
    <w:qFormat/>
    <w:uiPriority w:val="99"/>
    <w:rPr>
      <w:sz w:val="18"/>
      <w:szCs w:val="18"/>
    </w:rPr>
  </w:style>
  <w:style w:type="character" w:customStyle="1" w:styleId="23">
    <w:name w:val="页脚 字符"/>
    <w:basedOn w:val="18"/>
    <w:link w:val="11"/>
    <w:qFormat/>
    <w:uiPriority w:val="99"/>
    <w:rPr>
      <w:sz w:val="18"/>
      <w:szCs w:val="18"/>
    </w:rPr>
  </w:style>
  <w:style w:type="character" w:customStyle="1" w:styleId="24">
    <w:name w:val="批注框文本 字符"/>
    <w:basedOn w:val="18"/>
    <w:link w:val="10"/>
    <w:semiHidden/>
    <w:qFormat/>
    <w:uiPriority w:val="99"/>
    <w:rPr>
      <w:sz w:val="18"/>
      <w:szCs w:val="18"/>
    </w:rPr>
  </w:style>
  <w:style w:type="character" w:customStyle="1" w:styleId="25">
    <w:name w:val="标题 1 字符"/>
    <w:basedOn w:val="18"/>
    <w:link w:val="2"/>
    <w:qFormat/>
    <w:uiPriority w:val="9"/>
    <w:rPr>
      <w:rFonts w:eastAsia="黑体"/>
      <w:b/>
      <w:bCs/>
      <w:kern w:val="44"/>
      <w:sz w:val="36"/>
      <w:szCs w:val="44"/>
    </w:rPr>
  </w:style>
  <w:style w:type="character" w:customStyle="1" w:styleId="26">
    <w:name w:val="标题 2 字符"/>
    <w:basedOn w:val="18"/>
    <w:link w:val="3"/>
    <w:qFormat/>
    <w:uiPriority w:val="0"/>
    <w:rPr>
      <w:rFonts w:eastAsia="黑体" w:asciiTheme="majorHAnsi" w:hAnsiTheme="majorHAnsi" w:cstheme="majorBidi"/>
      <w:b/>
      <w:bCs/>
      <w:sz w:val="28"/>
      <w:szCs w:val="32"/>
    </w:rPr>
  </w:style>
  <w:style w:type="character" w:customStyle="1" w:styleId="27">
    <w:name w:val="文档结构图 字符"/>
    <w:basedOn w:val="18"/>
    <w:link w:val="7"/>
    <w:semiHidden/>
    <w:qFormat/>
    <w:uiPriority w:val="99"/>
    <w:rPr>
      <w:rFonts w:ascii="宋体" w:eastAsia="宋体"/>
      <w:sz w:val="18"/>
      <w:szCs w:val="18"/>
    </w:rPr>
  </w:style>
  <w:style w:type="character" w:customStyle="1" w:styleId="28">
    <w:name w:val="标题 3 字符"/>
    <w:basedOn w:val="18"/>
    <w:link w:val="4"/>
    <w:qFormat/>
    <w:uiPriority w:val="0"/>
    <w:rPr>
      <w:rFonts w:eastAsia="微软雅黑"/>
      <w:b/>
      <w:bCs/>
      <w:sz w:val="28"/>
      <w:szCs w:val="32"/>
    </w:rPr>
  </w:style>
  <w:style w:type="character" w:customStyle="1" w:styleId="29">
    <w:name w:val="标题 4 字符"/>
    <w:basedOn w:val="18"/>
    <w:link w:val="5"/>
    <w:qFormat/>
    <w:uiPriority w:val="9"/>
    <w:rPr>
      <w:rFonts w:asciiTheme="majorHAnsi" w:hAnsiTheme="majorHAnsi" w:eastAsiaTheme="majorEastAsia" w:cstheme="majorBidi"/>
      <w:b/>
      <w:bCs/>
      <w:sz w:val="28"/>
      <w:szCs w:val="28"/>
    </w:rPr>
  </w:style>
  <w:style w:type="paragraph" w:customStyle="1" w:styleId="30">
    <w:name w:val="Default"/>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31">
    <w:name w:val="hrefstyle"/>
    <w:basedOn w:val="18"/>
    <w:qFormat/>
    <w:uiPriority w:val="0"/>
  </w:style>
  <w:style w:type="character" w:customStyle="1" w:styleId="32">
    <w:name w:val="正文文本缩进 2 字符"/>
    <w:basedOn w:val="18"/>
    <w:link w:val="9"/>
    <w:qFormat/>
    <w:uiPriority w:val="99"/>
    <w:rPr>
      <w:rFonts w:ascii="Times New Roman" w:hAnsi="Times New Roman" w:eastAsia="宋体" w:cs="Times New Roman"/>
      <w:sz w:val="24"/>
      <w:szCs w:val="24"/>
    </w:rPr>
  </w:style>
  <w:style w:type="paragraph" w:customStyle="1" w:styleId="33">
    <w:name w:val="00段落标准格式"/>
    <w:basedOn w:val="1"/>
    <w:qFormat/>
    <w:uiPriority w:val="0"/>
    <w:pPr>
      <w:spacing w:beforeLines="50" w:after="100" w:afterAutospacing="1" w:line="320" w:lineRule="exact"/>
    </w:pPr>
    <w:rPr>
      <w:rFonts w:ascii="宋体" w:hAnsi="宋体" w:eastAsia="宋体" w:cs="宋体"/>
      <w:spacing w:val="6"/>
      <w:kern w:val="0"/>
      <w:sz w:val="21"/>
      <w:szCs w:val="21"/>
    </w:rPr>
  </w:style>
  <w:style w:type="character" w:customStyle="1" w:styleId="34">
    <w:name w:val="纯文本 字符"/>
    <w:basedOn w:val="18"/>
    <w:link w:val="8"/>
    <w:qFormat/>
    <w:uiPriority w:val="99"/>
    <w:rPr>
      <w:rFonts w:ascii="宋体" w:hAnsi="Courier New" w:eastAsia="宋体" w:cs="宋体"/>
      <w:szCs w:val="21"/>
    </w:rPr>
  </w:style>
  <w:style w:type="paragraph" w:customStyle="1" w:styleId="35">
    <w:name w:val="列出段落1"/>
    <w:basedOn w:val="1"/>
    <w:qFormat/>
    <w:uiPriority w:val="0"/>
    <w:pPr>
      <w:spacing w:before="100" w:beforeAutospacing="1" w:after="100" w:afterAutospacing="1"/>
      <w:ind w:firstLine="420"/>
    </w:pPr>
    <w:rPr>
      <w:rFonts w:ascii="Calibri" w:hAnsi="Calibri" w:eastAsia="宋体" w:cs="Times New Roman"/>
      <w:szCs w:val="24"/>
    </w:rPr>
  </w:style>
  <w:style w:type="character" w:customStyle="1" w:styleId="36">
    <w:name w:val="font31"/>
    <w:basedOn w:val="18"/>
    <w:qFormat/>
    <w:uiPriority w:val="0"/>
    <w:rPr>
      <w:rFonts w:hint="default" w:ascii="Arial" w:hAnsi="Arial" w:cs="Arial"/>
      <w:color w:val="000000"/>
      <w:sz w:val="24"/>
      <w:szCs w:val="24"/>
      <w:u w:val="none"/>
    </w:rPr>
  </w:style>
  <w:style w:type="character" w:customStyle="1" w:styleId="37">
    <w:name w:val="font01"/>
    <w:basedOn w:val="18"/>
    <w:qFormat/>
    <w:uiPriority w:val="0"/>
    <w:rPr>
      <w:rFonts w:hint="eastAsia" w:ascii="宋体" w:hAnsi="宋体" w:eastAsia="宋体"/>
      <w:color w:val="000000"/>
      <w:sz w:val="24"/>
      <w:szCs w:val="24"/>
      <w:u w:val="none"/>
    </w:rPr>
  </w:style>
  <w:style w:type="character" w:customStyle="1" w:styleId="38">
    <w:name w:val="font11"/>
    <w:basedOn w:val="18"/>
    <w:qFormat/>
    <w:uiPriority w:val="0"/>
    <w:rPr>
      <w:rFonts w:hint="eastAsia" w:ascii="华文细黑" w:hAnsi="华文细黑" w:eastAsia="华文细黑"/>
      <w:color w:val="000000"/>
      <w:sz w:val="24"/>
      <w:szCs w:val="24"/>
      <w:u w:val="none"/>
    </w:rPr>
  </w:style>
  <w:style w:type="paragraph" w:customStyle="1" w:styleId="39">
    <w:name w:val="TOC 标题1"/>
    <w:basedOn w:val="2"/>
    <w:next w:val="1"/>
    <w:unhideWhenUsed/>
    <w:qFormat/>
    <w:uiPriority w:val="39"/>
    <w:pPr>
      <w:widowControl/>
      <w:spacing w:before="480" w:beforeLines="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0">
    <w:name w:val="正文1"/>
    <w:qFormat/>
    <w:uiPriority w:val="0"/>
    <w:pPr>
      <w:jc w:val="both"/>
    </w:pPr>
    <w:rPr>
      <w:rFonts w:ascii="Calibri" w:hAnsi="Calibri" w:eastAsia="宋体" w:cs="宋体"/>
      <w:kern w:val="2"/>
      <w:sz w:val="21"/>
      <w:szCs w:val="21"/>
      <w:lang w:val="en-US" w:eastAsia="zh-CN" w:bidi="ar-SA"/>
    </w:rPr>
  </w:style>
  <w:style w:type="paragraph" w:customStyle="1" w:styleId="41">
    <w:name w:val="表格内容"/>
    <w:basedOn w:val="1"/>
    <w:qFormat/>
    <w:uiPriority w:val="0"/>
    <w:pPr>
      <w:widowControl/>
      <w:suppressLineNumbers/>
      <w:suppressAutoHyphens/>
      <w:spacing w:line="240" w:lineRule="auto"/>
      <w:ind w:firstLine="0" w:firstLineChars="0"/>
      <w:jc w:val="left"/>
    </w:pPr>
    <w:rPr>
      <w:rFonts w:ascii="Liberation Serif" w:hAnsi="Liberation Serif" w:eastAsia="Noto Sans CJK SC Regular" w:cs="Noto Sans CJK SC Regular"/>
      <w:szCs w:val="24"/>
    </w:rPr>
  </w:style>
  <w:style w:type="character" w:customStyle="1" w:styleId="42">
    <w:name w:val="未处理的提及1"/>
    <w:basedOn w:val="18"/>
    <w:semiHidden/>
    <w:unhideWhenUsed/>
    <w:qFormat/>
    <w:uiPriority w:val="99"/>
    <w:rPr>
      <w:color w:val="605E5C"/>
      <w:shd w:val="clear" w:color="auto" w:fill="E1DFDD"/>
    </w:rPr>
  </w:style>
  <w:style w:type="character" w:customStyle="1" w:styleId="43">
    <w:name w:val="TOC 2 字符"/>
    <w:basedOn w:val="18"/>
    <w:link w:val="14"/>
    <w:qFormat/>
    <w:uiPriority w:val="39"/>
    <w:rPr>
      <w:rFonts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DE53F-53A4-42B6-AFFB-BF3781222660}">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812</Words>
  <Characters>4631</Characters>
  <Lines>38</Lines>
  <Paragraphs>10</Paragraphs>
  <TotalTime>2</TotalTime>
  <ScaleCrop>false</ScaleCrop>
  <LinksUpToDate>false</LinksUpToDate>
  <CharactersWithSpaces>5433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2023-11-17T14:20:00Z</dcterms:created>
  <dc:creator>USER-</dc:creator>
  <cp:lastModifiedBy>WPS_1671864212</cp:lastModifiedBy>
  <cp:lastPrinted>2024-01-16T04:18:00Z</cp:lastPrinted>
  <dcterms:modified xsi:type="dcterms:W3CDTF">2024-03-22T08:30:07Z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C114DC7855684CF485AC79C8BE6D823E</vt:lpwstr>
  </property>
</Properties>
</file>