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26D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z w:val="44"/>
          <w:szCs w:val="44"/>
          <w:highlight w:val="none"/>
          <w:lang w:eastAsia="zh-CN"/>
        </w:rPr>
      </w:pPr>
      <w:r>
        <w:rPr>
          <w:rFonts w:ascii="Times New Roman" w:hAnsi="Times New Roman" w:eastAsia="方正小标宋简体" w:cs="Times New Roman"/>
          <w:color w:val="auto"/>
          <w:sz w:val="44"/>
          <w:szCs w:val="44"/>
          <w:highlight w:val="none"/>
        </w:rPr>
        <w:t>济南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highlight w:val="none"/>
        </w:rPr>
        <w:t>新旧动能转换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起步区管理委员会</w:t>
      </w:r>
    </w:p>
    <w:p w14:paraId="3FC353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Times New Roman" w:hAnsi="Times New Roman" w:eastAsia="方正小标宋简体" w:cs="Times New Roman"/>
          <w:color w:val="auto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eastAsia="zh-CN"/>
        </w:rPr>
        <w:t>2024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年政府信息公开工作年度报告</w:t>
      </w:r>
    </w:p>
    <w:p w14:paraId="3FAD0D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</w:p>
    <w:p w14:paraId="64FF63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依据《中华人民共和国政府信息公开条例》（国务院令第711号，以下简称《条例》）的要求，编制完成了济南新旧动能转换起步区管理委员会（以下简称起步区管委会）2024年政府信息公开工作年度报告。本报告包括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体情况、主动公开政府信息情况、收到和处理政府信息公开申请情况、政府信息公开行政复议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行政诉讼情况、存在的主要问题及改进情况、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其他需要报告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的事项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六个部分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。本报告中所列数据的统计期限自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2024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年1月1日起至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2024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年12月31日止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本报告的电子版可在“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济南新旧动能转换起步区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”门户网站（http://jnxxq.jinan.gov.cn/）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查看和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下载。如对本报告有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任何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疑问，请与起步区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管委会办公室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联系（地址：济南市天桥区大桥街道济水路与规划三路交叉口起步区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创新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中心，电话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：0531—</w:t>
      </w:r>
      <w:r>
        <w:rPr>
          <w:rFonts w:hint="eastAsia" w:ascii="仿宋_GB2312" w:hAnsi="仿宋_GB2312" w:eastAsia="仿宋_GB2312" w:cs="仿宋_GB2312"/>
          <w:sz w:val="32"/>
          <w:szCs w:val="32"/>
        </w:rPr>
        <w:t>66604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058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</w:p>
    <w:p w14:paraId="42A8DA52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总体情况</w:t>
      </w:r>
    </w:p>
    <w:p w14:paraId="26748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（一）主动公开</w:t>
      </w:r>
    </w:p>
    <w:p w14:paraId="57D47C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2024年，全区通过不同渠道和方式主动公开各类信息8254条，其中政府门户网站公开信息3774条，政务新媒体公开信息4480条。政府门户网站主动公开政府信息880条，其中，财政预算决算、财政收支、财政绩效等财政类信息69条；政府文件、部门文件、政策解读等政策法规类信息87条；重点领域信息200余条；会议公开类信息24条;公示公告类信息300余条；建议提案类39条；执法信息类46条；其他类别信息50余条。政策解读回应情况达100%，其中文字解读12条，专家解读6条，主要负责人解读5条，媒体解读5条，图片解读4条，有声朗读17条，电子书浏览14条，H5解读4条。</w:t>
      </w:r>
    </w:p>
    <w:p w14:paraId="118B10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4026535" cy="2672715"/>
            <wp:effectExtent l="9525" t="9525" r="2159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267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D65488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依申请公开</w:t>
      </w:r>
    </w:p>
    <w:p w14:paraId="1F641D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在2024年，起步区管委会严格按照《条例》规定，推行依申请工作全程跟踪管理机制，对“事前”“事中”“事后”等环节全过程规范管理，满足申请人对政府信息的个性化合理需求。</w:t>
      </w:r>
    </w:p>
    <w:p w14:paraId="337F6C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全区2024年度新收到依申请公开398件，转结去年22件，各部门、街道共办理依申请公开264件，管委会办理156件，包括信件和网站申请，全部按时答复。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全年收到涉及政府信息公开领域行政复议案件11件，行政诉讼案件9件。</w:t>
      </w:r>
    </w:p>
    <w:p w14:paraId="0B39C6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4436745" cy="2463800"/>
            <wp:effectExtent l="9525" t="9525" r="11430" b="222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46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ED7451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政府信息管理</w:t>
      </w:r>
    </w:p>
    <w:p w14:paraId="22648C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2024年，一是发布信息严格遵守“三审三校”原则，严格信息发布纠错审查，打出检查和监管的“组合拳”。二是完善“文件库”，对政策文件进行全面梳理和规范录入，建立文件库的动态更新机制，及时梳理添加新发布的政策文件，确保文件库的时效性和准确性。三是加强规范性文件管理，2024年管委会共制发规范性文件1件，清理规范性文件1次，宣布失效10件，确认现行有效规范性文件共有7件。</w:t>
      </w:r>
    </w:p>
    <w:p w14:paraId="4AB65894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政府信息公开平台建设情况</w:t>
      </w:r>
    </w:p>
    <w:p w14:paraId="2DAAF3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2024年，起步区管委会对政府网站进行全面升级改版，实现发布格式更规范、页面展示更简洁、内容呈现更直观、查阅方式更多元。</w:t>
      </w:r>
    </w:p>
    <w:p w14:paraId="5B98D4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598795" cy="2763520"/>
            <wp:effectExtent l="0" t="0" r="1905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8795" cy="2763520"/>
            <wp:effectExtent l="9525" t="9525" r="11430" b="273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63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D6FB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更新《济南新旧动能转换起步区门户网站当前栏目责任清单》，明确各栏目信息的维护主体与更新频率，进一步细化了职责分工，确保信息的准确性和时效性。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整合政务服务大厅的基础设施，建设起步区政务公开专区。放置各类信息公开的相关材料，配备自助查询设施，方便公众查阅政府信息，优化政府信息公开机制，全面提升政务服务水平。</w:t>
      </w:r>
    </w:p>
    <w:p w14:paraId="7C35AA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451225" cy="4652010"/>
            <wp:effectExtent l="9525" t="9525" r="25400" b="247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4652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70611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监督保障</w:t>
      </w:r>
    </w:p>
    <w:p w14:paraId="69DC46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一是加强队伍建设。不断调整政务公开队伍，确定各部门单位政务公开专职工作人员，明确职责分工，加强监督指导，保障政务公开工作连续性。二是加强业务培训，开展政务公开培训会，全面提升工作人员业务能力和水平。三是加强监督指导，全面梳理了《济南新旧动能转换起步区管委会主动公开事项目录》，进一步明确了信息公开的范围和标准，为公众提供了更加透明、高效的政务服务体验。</w:t>
      </w:r>
    </w:p>
    <w:p w14:paraId="32CD8D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303270" cy="2218690"/>
            <wp:effectExtent l="9525" t="9525" r="20955" b="196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21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69945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主动公开政府信息情况</w:t>
      </w:r>
    </w:p>
    <w:tbl>
      <w:tblPr>
        <w:tblStyle w:val="6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5"/>
        <w:gridCol w:w="2265"/>
        <w:gridCol w:w="2265"/>
        <w:gridCol w:w="2266"/>
      </w:tblGrid>
      <w:tr w14:paraId="5B7A11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6C6904E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  <w:highlight w:val="none"/>
              </w:rPr>
              <w:t>第二十条第（一）项</w:t>
            </w:r>
          </w:p>
        </w:tc>
      </w:tr>
      <w:tr w14:paraId="2AF33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67FF25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信息内容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6EC2D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本年制发件数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29D6C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本年废止件数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73E19A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现行有效件数</w:t>
            </w:r>
          </w:p>
        </w:tc>
      </w:tr>
      <w:tr w14:paraId="51A1C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16D1E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</w:rPr>
              <w:t>规章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DB27AC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B33F9A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C55899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5544F0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A5458D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</w:rPr>
              <w:t>行政规范性文件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DBEE8A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C1024F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420211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highlight w:val="none"/>
                <w:lang w:val="en-US" w:eastAsia="zh-CN"/>
              </w:rPr>
              <w:t>7</w:t>
            </w:r>
          </w:p>
        </w:tc>
      </w:tr>
      <w:tr w14:paraId="3CF728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66AB6D1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  <w:highlight w:val="none"/>
              </w:rPr>
              <w:t>第二十条第（五）项</w:t>
            </w:r>
          </w:p>
        </w:tc>
      </w:tr>
      <w:tr w14:paraId="2DB36A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F2C780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3262C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本年处理决定数量</w:t>
            </w:r>
          </w:p>
        </w:tc>
      </w:tr>
      <w:tr w14:paraId="5AB6E6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3BE4C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</w:rPr>
              <w:t>行政许可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3344B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highlight w:val="none"/>
                <w:lang w:val="en-US" w:eastAsia="zh-CN"/>
              </w:rPr>
              <w:t>12667</w:t>
            </w:r>
          </w:p>
        </w:tc>
      </w:tr>
      <w:tr w14:paraId="53248D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5F60383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  <w:highlight w:val="none"/>
              </w:rPr>
              <w:t>第二十条第（六）项</w:t>
            </w:r>
          </w:p>
        </w:tc>
      </w:tr>
      <w:tr w14:paraId="3D64AA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C08440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7D5D0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本年处理决定数量</w:t>
            </w:r>
          </w:p>
        </w:tc>
      </w:tr>
      <w:tr w14:paraId="3BF53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E912E3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</w:rPr>
              <w:t>行政处罚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369B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  <w:t>1332</w:t>
            </w:r>
          </w:p>
        </w:tc>
      </w:tr>
      <w:tr w14:paraId="665FD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2DC80E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</w:rPr>
              <w:t>行政强制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10228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  <w:lang w:val="en-US" w:eastAsia="zh-CN"/>
              </w:rPr>
              <w:t>42</w:t>
            </w:r>
          </w:p>
        </w:tc>
      </w:tr>
      <w:tr w14:paraId="1FCA4E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 w14:paraId="775D799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  <w:highlight w:val="none"/>
              </w:rPr>
              <w:t>第二十条第（八）项</w:t>
            </w:r>
          </w:p>
        </w:tc>
      </w:tr>
      <w:tr w14:paraId="050AE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6F5D1F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F06B8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Cs w:val="21"/>
                <w:highlight w:val="none"/>
              </w:rPr>
              <w:t>本年收费金额（单位：万元）</w:t>
            </w:r>
          </w:p>
        </w:tc>
      </w:tr>
      <w:tr w14:paraId="5350A4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AF5E6F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宋体" w:eastAsia="仿宋_GB2312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highlight w:val="none"/>
              </w:rPr>
              <w:t>行政事业性收费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643CCB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center"/>
              <w:textAlignment w:val="auto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highlight w:val="none"/>
                <w:lang w:val="en-US" w:eastAsia="zh-CN"/>
              </w:rPr>
              <w:t>2137.466641</w:t>
            </w:r>
          </w:p>
        </w:tc>
      </w:tr>
    </w:tbl>
    <w:p w14:paraId="26E772F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三、收到和处理政府信息公开申请情况</w:t>
      </w:r>
    </w:p>
    <w:tbl>
      <w:tblPr>
        <w:tblStyle w:val="6"/>
        <w:tblW w:w="99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1701"/>
        <w:gridCol w:w="2976"/>
        <w:gridCol w:w="829"/>
        <w:gridCol w:w="567"/>
        <w:gridCol w:w="567"/>
        <w:gridCol w:w="731"/>
        <w:gridCol w:w="708"/>
        <w:gridCol w:w="567"/>
        <w:gridCol w:w="851"/>
      </w:tblGrid>
      <w:tr w14:paraId="16D3D88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093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13901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楷体_GB2312" w:hAnsi="黑体" w:eastAsia="楷体_GB2312"/>
                <w:kern w:val="0"/>
                <w:szCs w:val="21"/>
                <w:highlight w:val="none"/>
              </w:rPr>
            </w:pPr>
            <w:r>
              <w:rPr>
                <w:rFonts w:hint="eastAsia" w:ascii="楷体_GB2312" w:hAnsi="黑体" w:eastAsia="楷体_GB2312"/>
                <w:kern w:val="0"/>
                <w:szCs w:val="21"/>
                <w:highlight w:val="none"/>
              </w:rPr>
              <w:t>（本列数据的勾稽关系为：第一项加第二项之和，</w:t>
            </w:r>
          </w:p>
          <w:p w14:paraId="1905289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Times New Roman" w:eastAsia="仿宋_GB2312"/>
                <w:szCs w:val="21"/>
                <w:highlight w:val="none"/>
              </w:rPr>
            </w:pPr>
            <w:r>
              <w:rPr>
                <w:rFonts w:hint="eastAsia" w:ascii="楷体_GB2312" w:hAnsi="黑体" w:eastAsia="楷体_GB2312"/>
                <w:kern w:val="0"/>
                <w:szCs w:val="21"/>
                <w:highlight w:val="none"/>
              </w:rPr>
              <w:t>等于第三项加第四项之和）</w:t>
            </w:r>
          </w:p>
        </w:tc>
        <w:tc>
          <w:tcPr>
            <w:tcW w:w="4820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D8DBB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申请人情况</w:t>
            </w:r>
          </w:p>
        </w:tc>
      </w:tr>
      <w:tr w14:paraId="65D39D9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B89FD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Times New Roman" w:eastAsia="仿宋_GB2312"/>
                <w:szCs w:val="21"/>
                <w:highlight w:val="none"/>
              </w:rPr>
            </w:pPr>
          </w:p>
        </w:tc>
        <w:tc>
          <w:tcPr>
            <w:tcW w:w="82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74630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自然人</w:t>
            </w:r>
          </w:p>
        </w:tc>
        <w:tc>
          <w:tcPr>
            <w:tcW w:w="3140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D8A0F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8250F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总计</w:t>
            </w:r>
          </w:p>
        </w:tc>
      </w:tr>
      <w:tr w14:paraId="562D22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F5C86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Times New Roman" w:eastAsia="仿宋_GB2312"/>
                <w:szCs w:val="21"/>
                <w:highlight w:val="none"/>
              </w:rPr>
            </w:pPr>
          </w:p>
        </w:tc>
        <w:tc>
          <w:tcPr>
            <w:tcW w:w="829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C7387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5CDE8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6" w:leftChars="-51" w:right="-107" w:rightChars="-51" w:hanging="1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商业企业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84DC8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7" w:leftChars="-51" w:right="-107" w:rightChars="-51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科研机构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A551D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7" w:leftChars="-51" w:right="-107" w:rightChars="-51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FEAA0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6" w:leftChars="-51" w:right="-107" w:rightChars="-51" w:hanging="1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066E6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3" w:leftChars="-30" w:right="-134" w:rightChars="-64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其他</w:t>
            </w:r>
          </w:p>
        </w:tc>
        <w:tc>
          <w:tcPr>
            <w:tcW w:w="85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842CB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Times New Roman" w:eastAsia="仿宋_GB2312"/>
                <w:szCs w:val="21"/>
                <w:highlight w:val="none"/>
              </w:rPr>
            </w:pPr>
          </w:p>
        </w:tc>
      </w:tr>
      <w:tr w14:paraId="0CB8867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EDD1B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一、</w:t>
            </w:r>
            <w:bookmarkStart w:id="0" w:name="_Hlk66973412"/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本年新收政府信息公开申请数量</w:t>
            </w:r>
            <w:bookmarkEnd w:id="0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4BAEA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395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33C95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DFE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76A92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775B8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1C86C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A3366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398</w:t>
            </w:r>
          </w:p>
        </w:tc>
      </w:tr>
      <w:tr w14:paraId="05BE464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A1072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二、上年结转政府信息公开申请数量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EEC29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9B4E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94C80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9B7F5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2F07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91B28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F6A09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22</w:t>
            </w:r>
          </w:p>
        </w:tc>
      </w:tr>
      <w:tr w14:paraId="1E8AFE0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151DE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三、本年度办理结果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42C93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（一）予以公开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89B1A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 xml:space="preserve"> 287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8FF8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0B836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ECA2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89E63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9EA55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9352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288</w:t>
            </w:r>
          </w:p>
        </w:tc>
      </w:tr>
      <w:tr w14:paraId="1DE4E6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5B408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67A46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（二）部分公开（</w:t>
            </w:r>
            <w:bookmarkStart w:id="1" w:name="_Hlk66973981"/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区分处理的，只计这一情形，不计其他情形</w:t>
            </w:r>
            <w:bookmarkEnd w:id="1"/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）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4B323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ind w:firstLine="210" w:firstLineChars="100"/>
              <w:jc w:val="both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37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CFE21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5D4A2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157E4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3E9ED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32A7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E9CF3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37</w:t>
            </w:r>
          </w:p>
        </w:tc>
      </w:tr>
      <w:tr w14:paraId="78801BD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A18BE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D3010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（三）不予公开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BA7D0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1.属于国家秘密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035A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A1452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6F1E4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A78B3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6AC58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8669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C9CB4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4ED31F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13F7F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0D28D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3C402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2.</w:t>
            </w:r>
            <w:bookmarkStart w:id="2" w:name="_Hlk66974104"/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其他法律行政法规禁止公开</w:t>
            </w:r>
            <w:bookmarkEnd w:id="2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157CD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D8237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3DDD6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9C841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2DFB9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DF1C7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E6B1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5</w:t>
            </w:r>
          </w:p>
        </w:tc>
      </w:tr>
      <w:tr w14:paraId="1CB03E6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52386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01899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1E70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3.危及“三安全一稳定”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EEAEE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CAD78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E9167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DB680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8EB6D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E2A5F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0983B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539AA57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FE24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1EBA3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22CD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4.</w:t>
            </w:r>
            <w:bookmarkStart w:id="3" w:name="_Hlk66974290"/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保护第三方合法权益</w:t>
            </w:r>
            <w:bookmarkEnd w:id="3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2EFFD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C584B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34C1F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BA10A2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FEFA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72F2C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7BF63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1</w:t>
            </w:r>
          </w:p>
        </w:tc>
      </w:tr>
      <w:tr w14:paraId="170E240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3ADB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8312C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26E0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5.属于三类内部事务信息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08B70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BCA74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FB4F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03742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F19E8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4A085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E5562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</w:t>
            </w:r>
          </w:p>
        </w:tc>
      </w:tr>
      <w:tr w14:paraId="473ECE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81958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0D90C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7B3D4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6.</w:t>
            </w:r>
            <w:bookmarkStart w:id="4" w:name="_Hlk66974555"/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属于四类过程性信息</w:t>
            </w:r>
            <w:bookmarkEnd w:id="4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C6B42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3CF78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3B0DE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0D82F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1BC82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E9E01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A3A5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</w:t>
            </w:r>
          </w:p>
        </w:tc>
      </w:tr>
      <w:tr w14:paraId="50F9B50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234E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F53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07DEB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7.属于行政执法案卷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0F3B8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D69B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7FA48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37E20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FCCF7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46680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E241A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410185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EE94B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BED07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5911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8.</w:t>
            </w:r>
            <w:bookmarkStart w:id="5" w:name="_Hlk66975211"/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属于行政查询事项</w:t>
            </w:r>
            <w:bookmarkEnd w:id="5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18AAF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84D4F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2C632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84712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434E3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8B516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22DA6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1</w:t>
            </w:r>
          </w:p>
        </w:tc>
      </w:tr>
      <w:tr w14:paraId="775BAD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5E432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D9B32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（四）无法提供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5731C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1.本机关不掌握相关政府信息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58072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62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05AA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6A458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267B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A292D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22A40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B5B64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64</w:t>
            </w:r>
          </w:p>
        </w:tc>
      </w:tr>
      <w:tr w14:paraId="706938E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108CB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D4208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82198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2.</w:t>
            </w:r>
            <w:bookmarkStart w:id="6" w:name="_Hlk66975392"/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没有现成信息需要另行制作</w:t>
            </w:r>
            <w:bookmarkEnd w:id="6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B2B71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59589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BA54A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79875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50C2B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6E2AC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7A02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3</w:t>
            </w:r>
          </w:p>
        </w:tc>
      </w:tr>
      <w:tr w14:paraId="59ACC2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FD51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F0927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1A2C2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3.</w:t>
            </w:r>
            <w:bookmarkStart w:id="7" w:name="_Hlk66975466"/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补正后申请内容仍不明确</w:t>
            </w:r>
            <w:bookmarkEnd w:id="7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2DF41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28294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B5E8F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33D44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6F845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7D2E2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AA8BC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31295A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C9D1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D46B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7" w:leftChars="-51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（五）不予处理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860DE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1.</w:t>
            </w:r>
            <w:bookmarkStart w:id="8" w:name="_Hlk66975537"/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信访举报投诉类申请</w:t>
            </w:r>
            <w:bookmarkEnd w:id="8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C4F8A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DCC0C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DCEA5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EEF2F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6A565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2F1D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59AE8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5E5EC1B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C3DF0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2BD6F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29224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2.重复申请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BCAC2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8E329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5101C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67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B195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5C2A8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2404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1</w:t>
            </w:r>
          </w:p>
        </w:tc>
      </w:tr>
      <w:tr w14:paraId="254C38D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5628B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BCE85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D79A8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3.要求提供公开出版物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449E8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0A66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33635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3193A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A7D1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524B7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EA7BE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00EAC4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B43A9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5C439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54DB5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4.无正当理由大量反复申请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5096C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79F5B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936C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A614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F7D3A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3AE82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670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6DA82B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1F90D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3E44E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C0141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5.要求行政机关确认或重新</w:t>
            </w:r>
          </w:p>
          <w:p w14:paraId="764A14A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210" w:firstLineChars="100"/>
              <w:jc w:val="center"/>
              <w:textAlignment w:val="auto"/>
              <w:rPr>
                <w:rFonts w:ascii="仿宋_GB2312" w:hAnsi="黑体" w:eastAsia="仿宋_GB2312"/>
                <w:szCs w:val="21"/>
                <w:highlight w:val="none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  <w:highlight w:val="none"/>
              </w:rPr>
              <w:t>出具已获取信息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9BEDA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3CA3B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270CD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43177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D129D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35C2A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8CE08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4</w:t>
            </w:r>
          </w:p>
        </w:tc>
      </w:tr>
      <w:tr w14:paraId="39680A9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69292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2EE03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（六）其他处理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CEF51A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楷体" w:eastAsia="仿宋_GB2312"/>
                <w:highlight w:val="none"/>
              </w:rPr>
            </w:pPr>
            <w:r>
              <w:rPr>
                <w:rFonts w:hint="eastAsia" w:ascii="仿宋_GB2312" w:hAnsi="楷体" w:eastAsia="仿宋_GB2312"/>
                <w:highlight w:val="none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84F7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3CE8B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FD9D5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2D70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71D98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D59AB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A2D5A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39A405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1964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410B9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kern w:val="0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410716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楷体" w:eastAsia="仿宋_GB2312"/>
                <w:highlight w:val="none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D971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3BB19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1DA0B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0015B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751E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20719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A4B88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</w:tr>
      <w:tr w14:paraId="6EEE444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14C8B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D9B30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kern w:val="0"/>
                <w:szCs w:val="21"/>
                <w:highlight w:val="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DA102A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_GB2312" w:hAnsi="黑体" w:eastAsia="仿宋_GB2312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楷体" w:eastAsia="仿宋_GB2312"/>
                <w:highlight w:val="none"/>
              </w:rPr>
              <w:t>3.其他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FCC8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83E02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03683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B26A4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A4075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82188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69DBC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2</w:t>
            </w:r>
          </w:p>
        </w:tc>
      </w:tr>
      <w:tr w14:paraId="24C00E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BB284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szCs w:val="21"/>
                <w:highlight w:val="none"/>
              </w:rPr>
            </w:pPr>
            <w:bookmarkStart w:id="10" w:name="_GoBack" w:colFirst="3" w:colLast="9"/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E22E3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（七）总计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F0F79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407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C152A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D1D7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CCEDD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2A250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2159A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957E9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410</w:t>
            </w:r>
          </w:p>
        </w:tc>
      </w:tr>
      <w:bookmarkEnd w:id="10"/>
      <w:tr w14:paraId="528CD77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CAA99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kern w:val="0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kern w:val="0"/>
                <w:szCs w:val="21"/>
                <w:highlight w:val="none"/>
              </w:rPr>
              <w:t>四、结转下年度继续办理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1CCBF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2D511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A7DC4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FB1D2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3FA60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D8613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D36A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40" w:lineRule="auto"/>
              <w:jc w:val="center"/>
              <w:textAlignment w:val="auto"/>
              <w:rPr>
                <w:rFonts w:hint="default" w:ascii="仿宋_GB2312" w:hAnsi="Times New Roman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highlight w:val="none"/>
                <w:lang w:val="en-US" w:eastAsia="zh-CN"/>
              </w:rPr>
              <w:t>10</w:t>
            </w:r>
          </w:p>
        </w:tc>
      </w:tr>
    </w:tbl>
    <w:p w14:paraId="18193E4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四、政府信息公开行政复议、行政诉讼情况</w:t>
      </w:r>
    </w:p>
    <w:tbl>
      <w:tblPr>
        <w:tblStyle w:val="6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14:paraId="204EB47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3B5A1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816AB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行政诉讼</w:t>
            </w:r>
          </w:p>
        </w:tc>
      </w:tr>
      <w:tr w14:paraId="3ABFCE2C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D9E87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49" w:leftChars="-71" w:right="-170" w:rightChars="-81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结果</w:t>
            </w:r>
          </w:p>
          <w:p w14:paraId="2941111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49" w:leftChars="-71" w:right="-170" w:rightChars="-81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EEB49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43" w:leftChars="-21" w:right="-132" w:rightChars="-63" w:hanging="1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EC3A0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82" w:leftChars="-39" w:right="-97" w:rightChars="-46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4A8C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18" w:leftChars="-56" w:right="-118" w:rightChars="-56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尚未</w:t>
            </w:r>
          </w:p>
          <w:p w14:paraId="59A5B67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18" w:leftChars="-56" w:right="-118" w:rightChars="-56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161C1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总</w:t>
            </w:r>
          </w:p>
          <w:p w14:paraId="43C7469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8EF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14250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bookmarkStart w:id="9" w:name="_Hlk67039688"/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复议后起诉</w:t>
            </w:r>
            <w:bookmarkEnd w:id="9"/>
          </w:p>
        </w:tc>
      </w:tr>
      <w:tr w14:paraId="18844CF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C5E5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黑体" w:hAnsi="黑体" w:eastAsia="黑体"/>
                <w:sz w:val="24"/>
                <w:highlight w:val="none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C968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黑体" w:hAnsi="黑体" w:eastAsia="黑体"/>
                <w:sz w:val="24"/>
                <w:highlight w:val="none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F600E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黑体" w:hAnsi="黑体" w:eastAsia="黑体"/>
                <w:sz w:val="24"/>
                <w:highlight w:val="none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5149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黑体" w:hAnsi="黑体" w:eastAsia="黑体"/>
                <w:sz w:val="24"/>
                <w:highlight w:val="none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ADF11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黑体" w:hAnsi="黑体" w:eastAsia="黑体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B4594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26" w:rightChars="-60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A900F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86" w:leftChars="-41" w:right="-88" w:rightChars="-42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B982A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26" w:leftChars="-60" w:right="-136" w:rightChars="-65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其他</w:t>
            </w:r>
          </w:p>
          <w:p w14:paraId="48FB8B7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26" w:leftChars="-60" w:right="-136" w:rightChars="-65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427CA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64" w:leftChars="-78" w:right="-153" w:rightChars="-73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尚未</w:t>
            </w:r>
          </w:p>
          <w:p w14:paraId="1C39842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64" w:leftChars="-78" w:right="-153" w:rightChars="-73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A5EEB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A5EC4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99" w:leftChars="-47" w:right="-78" w:rightChars="-37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706FC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36" w:leftChars="-65" w:right="-124" w:rightChars="-59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结果</w:t>
            </w:r>
          </w:p>
          <w:p w14:paraId="60D4C56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36" w:leftChars="-65" w:right="-124" w:rightChars="-59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8C34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73" w:leftChars="-83" w:right="-134" w:rightChars="-64" w:hanging="1"/>
              <w:jc w:val="center"/>
              <w:textAlignment w:val="auto"/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其他</w:t>
            </w:r>
          </w:p>
          <w:p w14:paraId="7EEBC3D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73" w:leftChars="-83" w:right="-134" w:rightChars="-64" w:hanging="1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0AE60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7" w:leftChars="-33" w:right="-105" w:rightChars="-50" w:hanging="2" w:hangingChars="1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438BF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hAnsi="黑体" w:eastAsia="黑体"/>
                <w:highlight w:val="none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  <w:highlight w:val="none"/>
              </w:rPr>
              <w:t>总计</w:t>
            </w:r>
          </w:p>
        </w:tc>
      </w:tr>
      <w:tr w14:paraId="39ADB60F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37F681"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E9614F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3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89AA5B">
            <w:pPr>
              <w:widowControl/>
              <w:spacing w:after="180"/>
              <w:jc w:val="center"/>
              <w:rPr>
                <w:rFonts w:hint="default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42ACB9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737D9C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28FAC8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3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787177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76F7C5">
            <w:pPr>
              <w:widowControl/>
              <w:spacing w:after="180"/>
              <w:jc w:val="center"/>
              <w:rPr>
                <w:rFonts w:hint="default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4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42E80F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5F900D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7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F57950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F002E8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7EDD44">
            <w:pPr>
              <w:widowControl/>
              <w:spacing w:after="180"/>
              <w:jc w:val="center"/>
              <w:rPr>
                <w:rFonts w:hint="default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753F4B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39BB15">
            <w:pPr>
              <w:widowControl/>
              <w:spacing w:after="180"/>
              <w:jc w:val="center"/>
              <w:rPr>
                <w:rFonts w:hint="eastAsia" w:ascii="Times New Roman" w:hAnsi="Times New Roman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2</w:t>
            </w:r>
          </w:p>
        </w:tc>
      </w:tr>
    </w:tbl>
    <w:p w14:paraId="0ABCC268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存在的主要问题及改进情况</w:t>
      </w:r>
    </w:p>
    <w:p w14:paraId="5B73C397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4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存在的主要问题：一是公众参与互动方面有待进一步加强；二是政府信息</w:t>
      </w:r>
      <w:r>
        <w:rPr>
          <w:rFonts w:hint="default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公开方式</w:t>
      </w:r>
      <w:r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不够多样。</w:t>
      </w:r>
    </w:p>
    <w:p w14:paraId="7CB0AB68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今后将针对存在的问题加以整改，努力开创政务公开工作的新局面。充分利用互联网技术，如政务网站、微信公众号等新媒体平台，打造全方位的沟通体系。注重接收公众的反馈和意见，实现双向沟通。通过政务网站、微信公众号等新媒体平台，实时更新政策法规、项目进展、公共服务信息等内容，确保公众能够迅速获取到最准确、最权威的信息。整合现有的政府信息公开渠道，如报刊、广播、电视等，确保各类信息能够及时、准确地通过多种渠道传递给公众。同时，加强与其他相关媒体的合作，拓宽信息传播渠道，</w:t>
      </w:r>
      <w:r>
        <w:rPr>
          <w:rFonts w:hint="default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探索联合策划、共同制作等深度合作模式，共同打造高质量的政务信息传播产品，以满足公众多样化的信息需求，进一步提升政府信息的传播力和影响力。</w:t>
      </w:r>
    </w:p>
    <w:p w14:paraId="0683EE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六、其他需要报告的事项</w:t>
      </w:r>
    </w:p>
    <w:p w14:paraId="56A9E39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val="en-US" w:eastAsia="zh-CN"/>
        </w:rPr>
        <w:t>（一）依据《政府信息公开信息处理费管理办法》收取信息处理费的情况</w:t>
      </w:r>
    </w:p>
    <w:p w14:paraId="2F7D488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本年度未收取信息处理费。</w:t>
      </w:r>
    </w:p>
    <w:p w14:paraId="0FB24BE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40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val="en-US" w:eastAsia="zh-CN"/>
        </w:rPr>
        <w:t>（二）落实上级年度政务公开工作要点情况</w:t>
      </w:r>
    </w:p>
    <w:p w14:paraId="3B89DE62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根据省、市2024年度政务公开工作要点要求，编制《2024年济南新旧动能转换起步区政务公开工作要点》，梳理《2024年济南新旧动能转换起步区政务公开优化提升指标分解责任清单》，明确了工作任务、具体要求、责任单位、工作时限，并每月调度工作进展情况。通过加强对重点领域的关注、对各项行政决策的规范化管理，严格执行并规范各项标准，提高政策解读质量，以政务公开标准化、规范化、常态化助力起步区高质量发展。</w:t>
      </w:r>
    </w:p>
    <w:p w14:paraId="46850853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40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val="en-US" w:eastAsia="zh-CN"/>
        </w:rPr>
        <w:t>（三）人大代表建议及政协提案办理情况</w:t>
      </w:r>
    </w:p>
    <w:p w14:paraId="21695BC1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2024年度，共收到人大代表建议63件、政协提案25件，合计88件，类型包括经济发展、生态环境、城乡建设，内容涉及民生、教育、交通、医疗、环境、能源、人才、发展规划和基础设施建设等方面。截至2024年年底，所有建议、提案均在规定时间内办理完成，征集意见反馈满意度100%。</w:t>
      </w:r>
    </w:p>
    <w:p w14:paraId="35AF9E4D"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40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val="en-US" w:eastAsia="zh-CN"/>
        </w:rPr>
        <w:t>创新情况</w:t>
      </w:r>
    </w:p>
    <w:p w14:paraId="0B9FBC15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经过广泛调查研究，策划推出城市品牌形象标识和主题口号，制定城市品牌创建三年行动计划，系统构建城市品牌矩阵，精准开展城市品牌宣推活动，推动新区形象更加清晰、丰富、立体，有力服务舆论引导、开放合作、城市建设和民生改善，以城市品牌创建引领新时代“黄河大合唱”起步乐章。</w:t>
      </w:r>
    </w:p>
    <w:p w14:paraId="2D1F8D67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40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val="en-US" w:eastAsia="zh-CN"/>
        </w:rPr>
        <w:t>（五）年报数据统计需要说明的事项</w:t>
      </w:r>
    </w:p>
    <w:p w14:paraId="27AA0348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</w:pPr>
      <w:r>
        <w:rPr>
          <w:rFonts w:hint="eastAsia" w:ascii="仿宋_GB2312" w:hAnsi="仿宋_GB2312" w:eastAsia="仿宋_GB2312" w:cs="仿宋_GB2312"/>
          <w:sz w:val="32"/>
          <w:szCs w:val="40"/>
          <w:highlight w:val="none"/>
          <w:lang w:val="en-US" w:eastAsia="zh-CN"/>
        </w:rPr>
        <w:t>收到和处理政府信息公开申请情况中第六项“其他处理的第3项其他”的2件为申请人申请信息不存在。</w:t>
      </w:r>
    </w:p>
    <w:sectPr>
      <w:footerReference r:id="rId3" w:type="default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2129F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7FB1AB">
                          <w:pPr>
                            <w:pStyle w:val="5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7FB1AB">
                    <w:pPr>
                      <w:pStyle w:val="5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BE93B"/>
    <w:multiLevelType w:val="singleLevel"/>
    <w:tmpl w:val="82ABE93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66903C"/>
    <w:multiLevelType w:val="singleLevel"/>
    <w:tmpl w:val="B466903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3567672"/>
    <w:multiLevelType w:val="singleLevel"/>
    <w:tmpl w:val="E356767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5545A05A"/>
    <w:multiLevelType w:val="singleLevel"/>
    <w:tmpl w:val="5545A0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9760C5B"/>
    <w:multiLevelType w:val="singleLevel"/>
    <w:tmpl w:val="69760C5B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ZDMxNWRkYmY5MjE3NjUxYTk3ZDA1NDUyNmVkYWEifQ=="/>
    <w:docVar w:name="KSO_WPS_MARK_KEY" w:val="f436f966-6ce0-4194-a865-b64f3b9df4d3"/>
  </w:docVars>
  <w:rsids>
    <w:rsidRoot w:val="601621A4"/>
    <w:rsid w:val="02ED1C6E"/>
    <w:rsid w:val="03D32E46"/>
    <w:rsid w:val="059E5DC5"/>
    <w:rsid w:val="07666493"/>
    <w:rsid w:val="0C71593E"/>
    <w:rsid w:val="110D4B48"/>
    <w:rsid w:val="1373480D"/>
    <w:rsid w:val="18D23988"/>
    <w:rsid w:val="19102E4E"/>
    <w:rsid w:val="1CA44A0F"/>
    <w:rsid w:val="1E2A7DC2"/>
    <w:rsid w:val="1EFF2FFD"/>
    <w:rsid w:val="1FD90BDA"/>
    <w:rsid w:val="218477E9"/>
    <w:rsid w:val="21EA7F94"/>
    <w:rsid w:val="22E87592"/>
    <w:rsid w:val="23754E88"/>
    <w:rsid w:val="25B74E6F"/>
    <w:rsid w:val="25BA0198"/>
    <w:rsid w:val="26A463EC"/>
    <w:rsid w:val="26AF02CB"/>
    <w:rsid w:val="2D752598"/>
    <w:rsid w:val="2DFA1131"/>
    <w:rsid w:val="2EF11709"/>
    <w:rsid w:val="2FE6418B"/>
    <w:rsid w:val="301827C1"/>
    <w:rsid w:val="326C2300"/>
    <w:rsid w:val="3292332D"/>
    <w:rsid w:val="34211C1E"/>
    <w:rsid w:val="342E5A95"/>
    <w:rsid w:val="3620346C"/>
    <w:rsid w:val="365A3471"/>
    <w:rsid w:val="3C0719D2"/>
    <w:rsid w:val="3E01608A"/>
    <w:rsid w:val="3FB7203C"/>
    <w:rsid w:val="3FBA749C"/>
    <w:rsid w:val="420039B6"/>
    <w:rsid w:val="43E048FB"/>
    <w:rsid w:val="44817E8C"/>
    <w:rsid w:val="46FE1B87"/>
    <w:rsid w:val="47743911"/>
    <w:rsid w:val="48584948"/>
    <w:rsid w:val="4A683BA7"/>
    <w:rsid w:val="4AC40AD3"/>
    <w:rsid w:val="4ADA11A0"/>
    <w:rsid w:val="4B8418AA"/>
    <w:rsid w:val="4BF04E90"/>
    <w:rsid w:val="4F922BC8"/>
    <w:rsid w:val="55F85AD5"/>
    <w:rsid w:val="5C2018E1"/>
    <w:rsid w:val="5F5A1C5D"/>
    <w:rsid w:val="601621A4"/>
    <w:rsid w:val="6375778E"/>
    <w:rsid w:val="67FB6A12"/>
    <w:rsid w:val="6AE4115F"/>
    <w:rsid w:val="6AF37D4D"/>
    <w:rsid w:val="6BB72DF2"/>
    <w:rsid w:val="6F5D6E5C"/>
    <w:rsid w:val="6F7E79D2"/>
    <w:rsid w:val="72600832"/>
    <w:rsid w:val="746437E6"/>
    <w:rsid w:val="747C1AD0"/>
    <w:rsid w:val="755C4782"/>
    <w:rsid w:val="7B1E5505"/>
    <w:rsid w:val="7C142DB9"/>
    <w:rsid w:val="7C322233"/>
    <w:rsid w:val="7F680525"/>
    <w:rsid w:val="7FDF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ascii="宋体" w:hAnsi="Courier New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3198</Words>
  <Characters>3383</Characters>
  <Lines>0</Lines>
  <Paragraphs>0</Paragraphs>
  <TotalTime>47</TotalTime>
  <ScaleCrop>false</ScaleCrop>
  <LinksUpToDate>false</LinksUpToDate>
  <CharactersWithSpaces>3385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2025-01-15T01:12:00Z</dcterms:created>
  <dc:creator>韩梦寒梦</dc:creator>
  <cp:lastModifiedBy>韩梦寒梦</cp:lastModifiedBy>
  <cp:lastPrinted>2025-02-18T08:11:00Z</cp:lastPrinted>
  <dcterms:modified xsi:type="dcterms:W3CDTF">2025-02-19T02:25:10Z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560C41BEF3C44EDDB440FEEFF2BD0479_13</vt:lpwstr>
  </property>
  <property fmtid="{D5CDD505-2E9C-101B-9397-08002B2CF9AE}" pid="4" name="KSOTemplateDocerSaveRecord">
    <vt:lpwstr>eyJoZGlkIjoiNDExZDcwM2FlZDVkZTA5NjhiNDEzNGE1YmI3OTVkOTciLCJ1c2VySWQiOiI0MDE0NTM4MDMifQ==</vt:lpwstr>
  </property>
</Properties>
</file>