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FCCC9">
      <w:pPr>
        <w:keepNext w:val="0"/>
        <w:keepLines w:val="0"/>
        <w:pageBreakBefore w:val="0"/>
        <w:widowControl w:val="0"/>
        <w:kinsoku/>
        <w:overflowPunct/>
        <w:topLinePunct w:val="0"/>
        <w:autoSpaceDE/>
        <w:autoSpaceDN/>
        <w:bidi w:val="0"/>
        <w:adjustRightInd/>
        <w:snapToGrid/>
        <w:spacing w:before="0" w:beforeAutospacing="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14:paraId="13EE71FB">
      <w:pPr>
        <w:keepNext w:val="0"/>
        <w:keepLines w:val="0"/>
        <w:pageBreakBefore w:val="0"/>
        <w:widowControl w:val="0"/>
        <w:kinsoku/>
        <w:overflowPunct/>
        <w:topLinePunct w:val="0"/>
        <w:autoSpaceDE/>
        <w:autoSpaceDN/>
        <w:bidi w:val="0"/>
        <w:adjustRightInd/>
        <w:snapToGrid/>
        <w:spacing w:before="0" w:beforeAutospacing="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济南新旧动能转换起步区管委会办公室</w:t>
      </w:r>
    </w:p>
    <w:p w14:paraId="014DC731">
      <w:pPr>
        <w:keepNext w:val="0"/>
        <w:keepLines w:val="0"/>
        <w:pageBreakBefore w:val="0"/>
        <w:widowControl w:val="0"/>
        <w:kinsoku/>
        <w:overflowPunct/>
        <w:topLinePunct w:val="0"/>
        <w:autoSpaceDE/>
        <w:autoSpaceDN/>
        <w:bidi w:val="0"/>
        <w:adjustRightInd/>
        <w:snapToGrid/>
        <w:spacing w:before="0" w:beforeAutospacing="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关于印发《济南新旧动能转换起步区2024年政务公开工作要点》的通知</w:t>
      </w:r>
    </w:p>
    <w:p w14:paraId="6017DBDD">
      <w:pPr>
        <w:keepNext w:val="0"/>
        <w:keepLines w:val="0"/>
        <w:pageBreakBefore w:val="0"/>
        <w:widowControl w:val="0"/>
        <w:tabs>
          <w:tab w:val="left" w:pos="6090"/>
        </w:tabs>
        <w:kinsoku/>
        <w:wordWrap/>
        <w:overflowPunct/>
        <w:topLinePunct w:val="0"/>
        <w:autoSpaceDE/>
        <w:autoSpaceDN/>
        <w:bidi w:val="0"/>
        <w:adjustRightInd/>
        <w:snapToGrid/>
        <w:spacing w:line="540" w:lineRule="exact"/>
        <w:ind w:left="0" w:firstLine="664" w:firstLineChars="200"/>
        <w:textAlignment w:val="auto"/>
        <w:rPr>
          <w:rFonts w:hint="eastAsia" w:ascii="楷体_GB2312" w:hAnsi="楷体_GB2312" w:eastAsia="楷体_GB2312" w:cs="楷体_GB2312"/>
          <w:color w:val="000000"/>
          <w:spacing w:val="6"/>
          <w:kern w:val="2"/>
          <w:sz w:val="32"/>
          <w:szCs w:val="32"/>
          <w:lang w:val="en-US" w:eastAsia="zh-CN" w:bidi="ar-SA"/>
        </w:rPr>
      </w:pPr>
    </w:p>
    <w:p w14:paraId="0683D89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各街道办事处，各职能部门、直属单位，驻区各单位：</w:t>
      </w:r>
    </w:p>
    <w:p w14:paraId="0F1F45C5">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《济南新旧动能转换起步区2024年政务公开工作要点》</w:t>
      </w:r>
      <w:r>
        <w:rPr>
          <w:rFonts w:hint="eastAsia" w:ascii="楷体_GB2312" w:hAnsi="楷体_GB2312" w:eastAsia="楷体_GB2312" w:cs="楷体_GB2312"/>
          <w:spacing w:val="0"/>
          <w:sz w:val="32"/>
          <w:lang w:val="en-US" w:eastAsia="zh-CN"/>
        </w:rPr>
        <w:t>已经管委会领导同志同意，现印发给你们，请认真抓好贯彻落实。</w:t>
      </w:r>
    </w:p>
    <w:p w14:paraId="2BDA337D">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楷体_GB2312" w:hAnsi="楷体_GB2312" w:eastAsia="楷体_GB2312" w:cs="楷体_GB2312"/>
          <w:spacing w:val="6"/>
          <w:sz w:val="32"/>
          <w:lang w:val="en-US" w:eastAsia="zh-CN"/>
        </w:rPr>
      </w:pPr>
    </w:p>
    <w:p w14:paraId="50504566">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济南新旧动能转换起步区管委会办公室</w:t>
      </w:r>
    </w:p>
    <w:p w14:paraId="178A04B1">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 xml:space="preserve">2024年7月30日          </w:t>
      </w:r>
    </w:p>
    <w:p w14:paraId="0BEB83D3">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楷体_GB2312" w:hAnsi="楷体_GB2312" w:eastAsia="楷体_GB2312" w:cs="楷体_GB2312"/>
          <w:spacing w:val="6"/>
          <w:sz w:val="32"/>
          <w:lang w:val="en-US" w:eastAsia="zh-CN"/>
        </w:rPr>
      </w:pPr>
    </w:p>
    <w:p w14:paraId="3D01FA8B">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（联系电话：起步区管委会办公室综合室，66604058）</w:t>
      </w:r>
    </w:p>
    <w:p w14:paraId="4BBD26C9">
      <w:pPr>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（此件公开发布）</w:t>
      </w:r>
    </w:p>
    <w:p w14:paraId="42E9EA87">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baseline"/>
        <w:rPr>
          <w:rFonts w:hint="eastAsia" w:ascii="方正小标宋简体" w:hAnsi="方正小标宋简体" w:eastAsia="方正小标宋简体" w:cs="方正小标宋简体"/>
          <w:color w:val="000000"/>
          <w:spacing w:val="6"/>
          <w:sz w:val="44"/>
          <w:szCs w:val="44"/>
        </w:rPr>
      </w:pPr>
    </w:p>
    <w:p w14:paraId="1D8C29DF">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baseline"/>
        <w:rPr>
          <w:rFonts w:hint="eastAsia"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济南新旧动能转换起步区</w:t>
      </w:r>
      <w:r>
        <w:rPr>
          <w:rFonts w:hint="eastAsia" w:ascii="方正小标宋简体" w:hAnsi="方正小标宋简体" w:eastAsia="方正小标宋简体" w:cs="方正小标宋简体"/>
          <w:color w:val="000000"/>
          <w:spacing w:val="6"/>
          <w:sz w:val="44"/>
          <w:szCs w:val="44"/>
          <w:lang w:eastAsia="zh-CN"/>
        </w:rPr>
        <w:t>2024</w:t>
      </w:r>
      <w:r>
        <w:rPr>
          <w:rFonts w:hint="eastAsia" w:ascii="方正小标宋简体" w:hAnsi="方正小标宋简体" w:eastAsia="方正小标宋简体" w:cs="方正小标宋简体"/>
          <w:color w:val="000000"/>
          <w:spacing w:val="6"/>
          <w:sz w:val="44"/>
          <w:szCs w:val="44"/>
        </w:rPr>
        <w:t>年政务公开</w:t>
      </w:r>
    </w:p>
    <w:p w14:paraId="514C2861">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baseline"/>
        <w:rPr>
          <w:rFonts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工作要点</w:t>
      </w:r>
    </w:p>
    <w:p w14:paraId="72967B05">
      <w:pPr>
        <w:pStyle w:val="3"/>
        <w:keepNext w:val="0"/>
        <w:keepLines w:val="0"/>
        <w:pageBreakBefore w:val="0"/>
        <w:widowControl w:val="0"/>
        <w:kinsoku/>
        <w:wordWrap/>
        <w:overflowPunct/>
        <w:topLinePunct w:val="0"/>
        <w:autoSpaceDE/>
        <w:autoSpaceDN/>
        <w:bidi w:val="0"/>
        <w:adjustRightInd/>
        <w:snapToGrid/>
        <w:spacing w:line="600" w:lineRule="exact"/>
        <w:ind w:firstLine="664" w:firstLineChars="200"/>
        <w:jc w:val="both"/>
        <w:textAlignment w:val="auto"/>
        <w:rPr>
          <w:rFonts w:hint="eastAsia" w:ascii="仿宋_GB2312" w:hAnsi="仿宋_GB2312" w:eastAsia="仿宋_GB2312" w:cs="仿宋_GB2312"/>
          <w:b w:val="0"/>
          <w:bCs/>
          <w:spacing w:val="6"/>
          <w:sz w:val="32"/>
          <w:szCs w:val="15"/>
          <w:lang w:val="en-US" w:eastAsia="zh-CN"/>
        </w:rPr>
      </w:pPr>
    </w:p>
    <w:p w14:paraId="678B2215">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Times New Roman"/>
          <w:spacing w:val="0"/>
          <w:sz w:val="32"/>
          <w:szCs w:val="32"/>
          <w:highlight w:val="none"/>
          <w:lang w:eastAsia="zh-CN"/>
        </w:rPr>
      </w:pPr>
      <w:r>
        <w:rPr>
          <w:rFonts w:hint="eastAsia" w:ascii="仿宋_GB2312" w:eastAsia="仿宋_GB2312" w:cs="Times New Roman"/>
          <w:spacing w:val="0"/>
          <w:sz w:val="32"/>
          <w:szCs w:val="32"/>
          <w:highlight w:val="none"/>
          <w:lang w:eastAsia="zh-CN"/>
        </w:rPr>
        <w:t>2024年，济南新旧动能转换起步区政务公开工作的总体要求是：以习近平新时代中国特色社会主义思想为指导，全面贯彻党的二十大精神，深入落实习近平总书记对山东、对</w:t>
      </w:r>
      <w:r>
        <w:rPr>
          <w:rFonts w:hint="eastAsia" w:ascii="仿宋_GB2312" w:eastAsia="仿宋_GB2312" w:cs="Times New Roman"/>
          <w:spacing w:val="0"/>
          <w:sz w:val="32"/>
          <w:szCs w:val="32"/>
          <w:highlight w:val="none"/>
          <w:lang w:val="en-US" w:eastAsia="zh-CN"/>
        </w:rPr>
        <w:t>济南</w:t>
      </w:r>
      <w:r>
        <w:rPr>
          <w:rFonts w:hint="eastAsia" w:ascii="仿宋_GB2312" w:eastAsia="仿宋_GB2312" w:cs="Times New Roman"/>
          <w:spacing w:val="0"/>
          <w:sz w:val="32"/>
          <w:szCs w:val="32"/>
          <w:highlight w:val="none"/>
          <w:lang w:eastAsia="zh-CN"/>
        </w:rPr>
        <w:t>工作的重要指示要求，准确把握新时代政务公开新形势、新要求，统筹政务公开与安全保密，不断提升政策服务水平，持续深化政企政民互动，以公开促落实、优服务、强监管，为加快推进起步区全面成形起势做出新的更大贡献。</w:t>
      </w:r>
    </w:p>
    <w:p w14:paraId="6279DE14">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pacing w:val="0"/>
          <w:sz w:val="32"/>
          <w:szCs w:val="32"/>
          <w:highlight w:val="none"/>
          <w:lang w:eastAsia="zh-CN"/>
        </w:rPr>
      </w:pPr>
      <w:r>
        <w:rPr>
          <w:rFonts w:hint="eastAsia" w:ascii="黑体" w:hAnsi="黑体" w:eastAsia="黑体" w:cs="黑体"/>
          <w:spacing w:val="0"/>
          <w:sz w:val="32"/>
          <w:szCs w:val="32"/>
          <w:highlight w:val="none"/>
          <w:lang w:eastAsia="zh-CN"/>
        </w:rPr>
        <w:t>一、做实重点领域主动公开</w:t>
      </w:r>
    </w:p>
    <w:p w14:paraId="3BE2B07B">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Times New Roman"/>
          <w:spacing w:val="0"/>
          <w:sz w:val="32"/>
          <w:szCs w:val="32"/>
          <w:highlight w:val="none"/>
          <w:lang w:eastAsia="zh-CN"/>
        </w:rPr>
      </w:pPr>
      <w:r>
        <w:rPr>
          <w:rFonts w:hint="eastAsia" w:ascii="楷体_GB2312" w:hAnsi="楷体_GB2312" w:eastAsia="楷体_GB2312" w:cs="楷体_GB2312"/>
          <w:spacing w:val="0"/>
          <w:sz w:val="32"/>
          <w:szCs w:val="32"/>
          <w:highlight w:val="none"/>
          <w:lang w:eastAsia="zh-CN"/>
        </w:rPr>
        <w:t>（一）以公开助力经济高质量发展。</w:t>
      </w:r>
      <w:r>
        <w:rPr>
          <w:rFonts w:hint="eastAsia" w:ascii="仿宋_GB2312" w:eastAsia="仿宋_GB2312" w:cs="Times New Roman"/>
          <w:spacing w:val="0"/>
          <w:sz w:val="32"/>
          <w:szCs w:val="32"/>
          <w:highlight w:val="none"/>
          <w:lang w:eastAsia="zh-CN"/>
        </w:rPr>
        <w:t>以“项目深化年”为总牵引，重点做好发展新质生产力、深化重点领域改革、推进高水平对外开放、全面推进乡村振兴、推进数字济南建设等方面的政府信息公开工作。加大支持和激励民间投资发展政策举措宣传发布力度，做好关键节点的集中宣传推介，鼓励吸引更多民间资本参与重大项目和重点领域投资建设。做好绿色低碳高质量发展政策的发布和宣传，全力做好国家重大战略、基础设施、防灾减灾、产业升级、民生保障等领域重大建设项目批准和实施信息公开工作。围绕住房改善、新能源汽车、绿色智能家居、直播电商、文娱旅游、体育赛事等领域消费支持政策，做好信息发布和舆论引导工作。</w:t>
      </w:r>
    </w:p>
    <w:p w14:paraId="3077C078">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Times New Roman"/>
          <w:spacing w:val="0"/>
          <w:sz w:val="32"/>
          <w:szCs w:val="32"/>
          <w:highlight w:val="none"/>
          <w:lang w:eastAsia="zh-CN"/>
        </w:rPr>
      </w:pPr>
      <w:r>
        <w:rPr>
          <w:rFonts w:hint="eastAsia" w:ascii="楷体_GB2312" w:hAnsi="楷体_GB2312" w:eastAsia="楷体_GB2312" w:cs="楷体_GB2312"/>
          <w:spacing w:val="0"/>
          <w:sz w:val="32"/>
          <w:szCs w:val="32"/>
          <w:highlight w:val="none"/>
          <w:lang w:eastAsia="zh-CN"/>
        </w:rPr>
        <w:t>（二）以公开助力提升治理能力。</w:t>
      </w:r>
      <w:r>
        <w:rPr>
          <w:rFonts w:hint="eastAsia" w:ascii="仿宋_GB2312" w:eastAsia="仿宋_GB2312" w:cs="Times New Roman"/>
          <w:spacing w:val="0"/>
          <w:sz w:val="32"/>
          <w:szCs w:val="32"/>
          <w:highlight w:val="none"/>
          <w:lang w:eastAsia="zh-CN"/>
        </w:rPr>
        <w:t>持续做好生活垃圾分类信息公开，持续开展生活垃圾分类进机关、进学校、进企业、进社区、进乡村等宣传活动。围绕打造乡村振兴齐鲁样板，全力建设宜居宜业和美乡村，做好乡村产业、乡村建设、乡村治理等领域乡村振兴信息公开。重点做好惠农资金补助发放、拆迁安置方案等事项的结果公示与存档备查，加强对小微权力运行的监督。及时发布加快发展现代农业、提升农村人居环境、深化农业农村改革等重要政策信息。</w:t>
      </w:r>
    </w:p>
    <w:p w14:paraId="0F4D69CF">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Times New Roman"/>
          <w:spacing w:val="0"/>
          <w:sz w:val="32"/>
          <w:szCs w:val="32"/>
          <w:highlight w:val="none"/>
          <w:lang w:eastAsia="zh-CN"/>
        </w:rPr>
      </w:pPr>
      <w:r>
        <w:rPr>
          <w:rFonts w:hint="eastAsia" w:ascii="楷体_GB2312" w:hAnsi="楷体_GB2312" w:eastAsia="楷体_GB2312" w:cs="楷体_GB2312"/>
          <w:spacing w:val="0"/>
          <w:sz w:val="32"/>
          <w:szCs w:val="32"/>
          <w:highlight w:val="none"/>
          <w:lang w:eastAsia="zh-CN"/>
        </w:rPr>
        <w:t>（三）以公开助力增进民生福祉。</w:t>
      </w:r>
      <w:r>
        <w:rPr>
          <w:rFonts w:hint="eastAsia" w:ascii="仿宋_GB2312" w:eastAsia="仿宋_GB2312" w:cs="Times New Roman"/>
          <w:spacing w:val="0"/>
          <w:sz w:val="32"/>
          <w:szCs w:val="32"/>
          <w:highlight w:val="none"/>
          <w:lang w:eastAsia="zh-CN"/>
        </w:rPr>
        <w:t>针对高校毕业生、退役军人、困难人员等不同群体以及各类经营主体，切实做好就业创业等政策清单及服务信息发布，加大政策解读和推送力度。做好推动大规模设备更新和消费品以旧换新相关政策宣传引导，持续做好济南消费季活动的宣传推广。围绕满足居民刚性和改善性住房需求，持续做好保障性住房建设和供给政策措施发布和宣传普及，及时公开保障性租赁住房、公租房等保障性住房相关信息。持续做好学前教育、义务教育、职业教育、特殊教育、高等教育等方面信息公开。加大“一老一小”服务保障有关政策解读和推送力度，重点做好新建小区养老设施配建、养老服务机构建设运营、托育服务供给、育儿补贴发放等方面支持政策和措施信息发布和推送。做好民生保障待遇标准动态调整，并向社会公开。加大物业、环卫、家政等从业群体社会保障信息公开力度，做好外卖骑手、网约车司机等新就业形态职业伤害保障试点工作进展情况公开。</w:t>
      </w:r>
    </w:p>
    <w:p w14:paraId="14760CDD">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Times New Roman"/>
          <w:spacing w:val="0"/>
          <w:sz w:val="32"/>
          <w:szCs w:val="32"/>
          <w:highlight w:val="none"/>
          <w:lang w:eastAsia="zh-CN"/>
        </w:rPr>
      </w:pPr>
      <w:r>
        <w:rPr>
          <w:rFonts w:hint="eastAsia" w:ascii="楷体_GB2312" w:hAnsi="楷体_GB2312" w:eastAsia="楷体_GB2312" w:cs="楷体_GB2312"/>
          <w:spacing w:val="0"/>
          <w:sz w:val="32"/>
          <w:szCs w:val="32"/>
          <w:highlight w:val="none"/>
          <w:lang w:eastAsia="zh-CN"/>
        </w:rPr>
        <w:t>（四）以公开助力提高监管效能。</w:t>
      </w:r>
      <w:r>
        <w:rPr>
          <w:rFonts w:hint="eastAsia" w:ascii="仿宋_GB2312" w:eastAsia="仿宋_GB2312" w:cs="Times New Roman"/>
          <w:spacing w:val="0"/>
          <w:sz w:val="32"/>
          <w:szCs w:val="32"/>
          <w:highlight w:val="none"/>
          <w:lang w:eastAsia="zh-CN"/>
        </w:rPr>
        <w:t>加强行政机关权力配置信息公开，结合政府机构改革和职能优化，做好政府部门权责清单和机构职能信息的调整和公开工作。严格落实行政执法公示制度，优化完善全区“双随机、一公开”监管平台，提升综合监管效能。规范公开行政事业性收费和政府性基金目录以及招投标、公共资源配置等领域政府信息。加强市场监管制度规则和标准的更新发布和解读，及时公开建设高标准市场体系具体措施，提高监管透明度。加强投诉举报、监督检查、行政处罚信息常态化公开和重点推送，明确投诉渠道信息公示，打造“阳光监管”体系。</w:t>
      </w:r>
    </w:p>
    <w:p w14:paraId="628B85B5">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pacing w:val="0"/>
          <w:sz w:val="32"/>
          <w:szCs w:val="32"/>
          <w:highlight w:val="none"/>
          <w:lang w:eastAsia="zh-CN"/>
        </w:rPr>
      </w:pPr>
      <w:r>
        <w:rPr>
          <w:rFonts w:hint="eastAsia" w:ascii="黑体" w:hAnsi="黑体" w:eastAsia="黑体" w:cs="黑体"/>
          <w:spacing w:val="0"/>
          <w:sz w:val="32"/>
          <w:szCs w:val="32"/>
          <w:highlight w:val="none"/>
          <w:lang w:eastAsia="zh-CN"/>
        </w:rPr>
        <w:t>二、推进政策服务提质增效</w:t>
      </w:r>
    </w:p>
    <w:p w14:paraId="713EFC58">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Times New Roman"/>
          <w:spacing w:val="0"/>
          <w:sz w:val="32"/>
          <w:szCs w:val="32"/>
          <w:highlight w:val="none"/>
          <w:lang w:eastAsia="zh-CN"/>
        </w:rPr>
      </w:pPr>
      <w:r>
        <w:rPr>
          <w:rFonts w:hint="eastAsia" w:ascii="楷体_GB2312" w:hAnsi="楷体_GB2312" w:eastAsia="楷体_GB2312" w:cs="楷体_GB2312"/>
          <w:spacing w:val="0"/>
          <w:sz w:val="32"/>
          <w:szCs w:val="32"/>
          <w:highlight w:val="none"/>
          <w:lang w:eastAsia="zh-CN"/>
        </w:rPr>
        <w:t>（五）进一步提高政策发布质量。</w:t>
      </w:r>
      <w:r>
        <w:rPr>
          <w:rFonts w:hint="eastAsia" w:ascii="仿宋_GB2312" w:eastAsia="仿宋_GB2312" w:cs="Times New Roman"/>
          <w:spacing w:val="0"/>
          <w:sz w:val="32"/>
          <w:szCs w:val="32"/>
          <w:highlight w:val="none"/>
          <w:lang w:eastAsia="zh-CN"/>
        </w:rPr>
        <w:t>强化政府信息公开专栏建设，加强政府网站政策数据同源管理，夯实现有工作成果。加强管委会文件库建设，持续提高入库政府文件质量，确保文件库收录文件全量覆盖、内容要素齐全、格式文本规范、动态更新及时、检索查询便利，建立健全日常运维和动态更新机制。以政府行政规范性文件为重点，加强已公开政策的信息管理，根据“立改废”情况动态更新，以公开的准确性保障执行的</w:t>
      </w:r>
      <w:r>
        <w:rPr>
          <w:rFonts w:hint="eastAsia" w:ascii="仿宋_GB2312" w:eastAsia="仿宋_GB2312" w:cs="Times New Roman"/>
          <w:spacing w:val="0"/>
          <w:sz w:val="32"/>
          <w:szCs w:val="32"/>
          <w:highlight w:val="none"/>
          <w:lang w:val="en-US" w:eastAsia="zh-CN"/>
        </w:rPr>
        <w:t>精准度</w:t>
      </w:r>
      <w:r>
        <w:rPr>
          <w:rFonts w:hint="eastAsia" w:ascii="仿宋_GB2312" w:eastAsia="仿宋_GB2312" w:cs="Times New Roman"/>
          <w:spacing w:val="0"/>
          <w:sz w:val="32"/>
          <w:szCs w:val="32"/>
          <w:highlight w:val="none"/>
          <w:lang w:eastAsia="zh-CN"/>
        </w:rPr>
        <w:t>。</w:t>
      </w:r>
    </w:p>
    <w:p w14:paraId="573DD6D9">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Times New Roman"/>
          <w:spacing w:val="0"/>
          <w:sz w:val="32"/>
          <w:szCs w:val="32"/>
          <w:highlight w:val="none"/>
          <w:lang w:eastAsia="zh-CN"/>
        </w:rPr>
      </w:pPr>
      <w:r>
        <w:rPr>
          <w:rFonts w:hint="eastAsia" w:ascii="楷体_GB2312" w:hAnsi="楷体_GB2312" w:eastAsia="楷体_GB2312" w:cs="楷体_GB2312"/>
          <w:spacing w:val="0"/>
          <w:sz w:val="32"/>
          <w:szCs w:val="32"/>
          <w:highlight w:val="none"/>
          <w:lang w:eastAsia="zh-CN"/>
        </w:rPr>
        <w:t>（六）进一步提高政策解读质量。</w:t>
      </w:r>
      <w:r>
        <w:rPr>
          <w:rFonts w:hint="eastAsia" w:ascii="仿宋_GB2312" w:eastAsia="仿宋_GB2312" w:cs="Times New Roman"/>
          <w:spacing w:val="0"/>
          <w:sz w:val="32"/>
          <w:szCs w:val="32"/>
          <w:highlight w:val="none"/>
          <w:lang w:eastAsia="zh-CN"/>
        </w:rPr>
        <w:t>严格落实政策解读材料与政策文件同步起草、同步审签、同步发布“三同步”原则，聚焦扩大有效需求、培育和发展新质生产力、数字经济发展、重点领域改革、高水平开放、高质量招商引资、乡村振兴、新型城镇化建设、降碳减污扩绿、保障改善民生等方面相关政策，开展深入解读。进一步加强政务公开与12345热线等的线上、线下联动，通过政府网站、政务服务大厅、政务服务平台、12345热线等渠道充分收集企业、群众需求，针对政策中与企业、群众生产生活密切相关的具体条款和事项，进行要点拆分、深度解读和综合指引。涉及办事服务的政策性文件，确保政策解读内容与实际办事要求一致。充分发挥部门主要负责人、政策参与制定者和熟悉有关业务专家学者、专业机构从业人员、新闻评论员、媒体记者等作用，进行多角度全方位解读。</w:t>
      </w:r>
    </w:p>
    <w:p w14:paraId="3F059853">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pacing w:val="0"/>
          <w:sz w:val="32"/>
          <w:szCs w:val="32"/>
          <w:highlight w:val="none"/>
          <w:lang w:eastAsia="zh-CN"/>
        </w:rPr>
      </w:pPr>
      <w:r>
        <w:rPr>
          <w:rFonts w:hint="eastAsia" w:ascii="黑体" w:hAnsi="黑体" w:eastAsia="黑体" w:cs="黑体"/>
          <w:spacing w:val="0"/>
          <w:sz w:val="32"/>
          <w:szCs w:val="32"/>
          <w:highlight w:val="none"/>
          <w:lang w:eastAsia="zh-CN"/>
        </w:rPr>
        <w:t>三、深化政民政企互动交流</w:t>
      </w:r>
    </w:p>
    <w:p w14:paraId="4EA18F26">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Times New Roman"/>
          <w:spacing w:val="0"/>
          <w:sz w:val="32"/>
          <w:szCs w:val="32"/>
          <w:highlight w:val="none"/>
          <w:lang w:eastAsia="zh-CN"/>
        </w:rPr>
      </w:pPr>
      <w:r>
        <w:rPr>
          <w:rFonts w:hint="eastAsia" w:ascii="楷体_GB2312" w:hAnsi="楷体_GB2312" w:eastAsia="楷体_GB2312" w:cs="楷体_GB2312"/>
          <w:spacing w:val="0"/>
          <w:sz w:val="32"/>
          <w:szCs w:val="32"/>
          <w:highlight w:val="none"/>
          <w:lang w:eastAsia="zh-CN"/>
        </w:rPr>
        <w:t>（七）有序推进政策公众参与。</w:t>
      </w:r>
      <w:r>
        <w:rPr>
          <w:rFonts w:hint="eastAsia" w:ascii="仿宋_GB2312" w:eastAsia="仿宋_GB2312" w:cs="Times New Roman"/>
          <w:spacing w:val="0"/>
          <w:sz w:val="32"/>
          <w:szCs w:val="32"/>
          <w:highlight w:val="none"/>
          <w:lang w:eastAsia="zh-CN"/>
        </w:rPr>
        <w:t>优化公众参与政策制定机制，制定涉及重大公共利益的政策，除依法应当保密的外，应通过征求意见、听证座谈、实地走访、民意调查等方式扩大公众参与，制定涉企政策要主动听取相关企业、行业协会商会的意见。继续推进邀请利益相关方、公众代表、企业法人等列席政府有关会议工作，列席代表的意见发表和采纳情况要向社会公开。建立政策效果评价机制，常态化开展政策评价，制定政策性文件的部门原则上每年至少开展2次专题性政策评价工作，选取重点政策，围绕执行标准、适用范围、使用情况、取得成效、存在问题等开展实施效果评价，掌握政策落地情况。对政策评价结果进行深入分析，适时转化为调整政策制定的措施，年底前将政策评价结果和运用情况向社会公开。</w:t>
      </w:r>
    </w:p>
    <w:p w14:paraId="2ED92F42">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Times New Roman"/>
          <w:spacing w:val="0"/>
          <w:sz w:val="32"/>
          <w:szCs w:val="32"/>
          <w:highlight w:val="none"/>
          <w:lang w:eastAsia="zh-CN"/>
        </w:rPr>
      </w:pPr>
      <w:r>
        <w:rPr>
          <w:rFonts w:hint="eastAsia" w:ascii="楷体_GB2312" w:hAnsi="楷体_GB2312" w:eastAsia="楷体_GB2312" w:cs="楷体_GB2312"/>
          <w:spacing w:val="0"/>
          <w:sz w:val="32"/>
          <w:szCs w:val="32"/>
          <w:highlight w:val="none"/>
          <w:lang w:eastAsia="zh-CN"/>
        </w:rPr>
        <w:t>（八）提高政民政企交流实效。</w:t>
      </w:r>
      <w:r>
        <w:rPr>
          <w:rFonts w:hint="eastAsia" w:ascii="仿宋_GB2312" w:eastAsia="仿宋_GB2312" w:cs="Times New Roman"/>
          <w:spacing w:val="0"/>
          <w:sz w:val="32"/>
          <w:szCs w:val="32"/>
          <w:highlight w:val="none"/>
          <w:lang w:eastAsia="zh-CN"/>
        </w:rPr>
        <w:t>鼓励以公开征集意见方式，确定政府开放活动主题和场次，推动政府开放活动常态化。统筹做好领导信箱、在线访谈、网友留言、意见征集、建言献策等互动渠道建设，提高互动交流实效。严格落实各渠道办理时限，及时公开公众意见建议采纳情况，加强对收集意见建议的分析研究，在作出公开决策时予以考虑，并将吸收采纳情况向社会公开。</w:t>
      </w:r>
    </w:p>
    <w:p w14:paraId="0E053770">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pacing w:val="0"/>
          <w:sz w:val="32"/>
          <w:szCs w:val="32"/>
          <w:highlight w:val="none"/>
          <w:lang w:eastAsia="zh-CN"/>
        </w:rPr>
      </w:pPr>
      <w:r>
        <w:rPr>
          <w:rFonts w:hint="eastAsia" w:ascii="黑体" w:hAnsi="黑体" w:eastAsia="黑体" w:cs="黑体"/>
          <w:spacing w:val="0"/>
          <w:sz w:val="32"/>
          <w:szCs w:val="32"/>
          <w:highlight w:val="none"/>
          <w:lang w:eastAsia="zh-CN"/>
        </w:rPr>
        <w:t>四、提升依申请公开工作水平</w:t>
      </w:r>
    </w:p>
    <w:p w14:paraId="2B821B1E">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Times New Roman"/>
          <w:spacing w:val="0"/>
          <w:sz w:val="32"/>
          <w:szCs w:val="32"/>
          <w:highlight w:val="none"/>
          <w:lang w:eastAsia="zh-CN"/>
        </w:rPr>
      </w:pPr>
      <w:r>
        <w:rPr>
          <w:rFonts w:hint="eastAsia" w:ascii="楷体_GB2312" w:hAnsi="楷体_GB2312" w:eastAsia="楷体_GB2312" w:cs="楷体_GB2312"/>
          <w:spacing w:val="0"/>
          <w:sz w:val="32"/>
          <w:szCs w:val="32"/>
          <w:highlight w:val="none"/>
          <w:lang w:eastAsia="zh-CN"/>
        </w:rPr>
        <w:t>（九）规范依申请公开办理工作。</w:t>
      </w:r>
      <w:r>
        <w:rPr>
          <w:rFonts w:hint="eastAsia" w:ascii="仿宋_GB2312" w:eastAsia="仿宋_GB2312" w:cs="Times New Roman"/>
          <w:spacing w:val="0"/>
          <w:sz w:val="32"/>
          <w:szCs w:val="32"/>
          <w:highlight w:val="none"/>
          <w:lang w:eastAsia="zh-CN"/>
        </w:rPr>
        <w:t>落实省“依申请公开质效提升年”活动各项要求，全面提升管委会依申请公开办理水平。注重温情服务，主动与申请人沟通，做好便民解答、指引和服务，推动申请人合理诉求的实质性解决。围绕征地拆迁、国土空间规划、社会保障等企业、群众重点关注领域，研究建立跨层级、跨部门协调联动工作机制，直面问题，认真分析，及时在政务公开工作层面予以回应，积极推动申请较为集中的依申请公开政府信息向主动公开转化。加强协调联动，研究制定相关约束转办机制，解决好申请人权利滥用、行政机关未依法行政等问题。加强对管委会依申请公开的工作指导、跟踪督导，妥善处理疑难复杂案件。</w:t>
      </w:r>
    </w:p>
    <w:p w14:paraId="410F3F44">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Times New Roman"/>
          <w:spacing w:val="0"/>
          <w:sz w:val="32"/>
          <w:szCs w:val="32"/>
          <w:highlight w:val="none"/>
          <w:lang w:eastAsia="zh-CN"/>
        </w:rPr>
      </w:pPr>
      <w:r>
        <w:rPr>
          <w:rFonts w:hint="eastAsia" w:ascii="楷体_GB2312" w:hAnsi="楷体_GB2312" w:eastAsia="楷体_GB2312" w:cs="楷体_GB2312"/>
          <w:spacing w:val="0"/>
          <w:sz w:val="32"/>
          <w:szCs w:val="32"/>
          <w:highlight w:val="none"/>
          <w:lang w:eastAsia="zh-CN"/>
        </w:rPr>
        <w:t>（十）</w:t>
      </w:r>
      <w:r>
        <w:rPr>
          <w:rFonts w:hint="eastAsia" w:ascii="楷体_GB2312" w:hAnsi="楷体_GB2312" w:eastAsia="楷体_GB2312" w:cs="楷体_GB2312"/>
          <w:spacing w:val="0"/>
          <w:sz w:val="32"/>
          <w:szCs w:val="32"/>
          <w:highlight w:val="none"/>
          <w:lang w:val="en-US" w:eastAsia="zh-CN"/>
        </w:rPr>
        <w:t>积极落实市</w:t>
      </w:r>
      <w:r>
        <w:rPr>
          <w:rFonts w:hint="eastAsia" w:ascii="楷体_GB2312" w:hAnsi="楷体_GB2312" w:eastAsia="楷体_GB2312" w:cs="楷体_GB2312"/>
          <w:spacing w:val="0"/>
          <w:sz w:val="32"/>
          <w:szCs w:val="32"/>
          <w:highlight w:val="none"/>
          <w:lang w:eastAsia="zh-CN"/>
        </w:rPr>
        <w:t>依申请公开数字化管理平台</w:t>
      </w:r>
      <w:r>
        <w:rPr>
          <w:rFonts w:hint="eastAsia" w:ascii="楷体_GB2312" w:hAnsi="楷体_GB2312" w:eastAsia="楷体_GB2312" w:cs="楷体_GB2312"/>
          <w:spacing w:val="0"/>
          <w:sz w:val="32"/>
          <w:szCs w:val="32"/>
          <w:highlight w:val="none"/>
          <w:lang w:val="en-US" w:eastAsia="zh-CN"/>
        </w:rPr>
        <w:t>建设</w:t>
      </w:r>
      <w:r>
        <w:rPr>
          <w:rFonts w:hint="eastAsia" w:ascii="楷体_GB2312" w:hAnsi="楷体_GB2312" w:eastAsia="楷体_GB2312" w:cs="楷体_GB2312"/>
          <w:spacing w:val="0"/>
          <w:sz w:val="32"/>
          <w:szCs w:val="32"/>
          <w:highlight w:val="none"/>
          <w:lang w:eastAsia="zh-CN"/>
        </w:rPr>
        <w:t>。</w:t>
      </w:r>
      <w:r>
        <w:rPr>
          <w:rFonts w:hint="eastAsia" w:ascii="仿宋_GB2312" w:eastAsia="仿宋_GB2312" w:cs="Times New Roman"/>
          <w:spacing w:val="0"/>
          <w:sz w:val="32"/>
          <w:szCs w:val="32"/>
          <w:highlight w:val="none"/>
          <w:lang w:eastAsia="zh-CN"/>
        </w:rPr>
        <w:t>进一步规范依申请公开工作流程，积极落实市依申请公开一体化管理平台建设的各项工作要求。建设依申请公开案例库，借助信息化手段，整合政策文件、标准文本和典型案例，为工作人员提供参考；分析研判政府信息依申请公开典型案例，辅助提升依申请公开答复水平。</w:t>
      </w:r>
    </w:p>
    <w:p w14:paraId="0FA286CD">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pacing w:val="0"/>
          <w:sz w:val="32"/>
          <w:szCs w:val="32"/>
          <w:highlight w:val="none"/>
          <w:lang w:eastAsia="zh-CN"/>
        </w:rPr>
      </w:pPr>
      <w:r>
        <w:rPr>
          <w:rFonts w:hint="eastAsia" w:ascii="黑体" w:hAnsi="黑体" w:eastAsia="黑体" w:cs="黑体"/>
          <w:spacing w:val="0"/>
          <w:sz w:val="32"/>
          <w:szCs w:val="32"/>
          <w:highlight w:val="none"/>
          <w:lang w:eastAsia="zh-CN"/>
        </w:rPr>
        <w:t>五、打造集约高效公开平台</w:t>
      </w:r>
    </w:p>
    <w:p w14:paraId="0D990435">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Times New Roman"/>
          <w:spacing w:val="0"/>
          <w:sz w:val="32"/>
          <w:szCs w:val="32"/>
          <w:highlight w:val="none"/>
          <w:lang w:eastAsia="zh-CN"/>
        </w:rPr>
      </w:pPr>
      <w:r>
        <w:rPr>
          <w:rFonts w:hint="eastAsia" w:ascii="楷体_GB2312" w:hAnsi="楷体_GB2312" w:eastAsia="楷体_GB2312" w:cs="楷体_GB2312"/>
          <w:spacing w:val="0"/>
          <w:sz w:val="32"/>
          <w:szCs w:val="32"/>
          <w:highlight w:val="none"/>
          <w:lang w:eastAsia="zh-CN"/>
        </w:rPr>
        <w:t>（十一）高起点建设政务公开第一平台。</w:t>
      </w:r>
      <w:r>
        <w:rPr>
          <w:rFonts w:hint="eastAsia" w:ascii="仿宋_GB2312" w:eastAsia="仿宋_GB2312" w:cs="Times New Roman"/>
          <w:spacing w:val="0"/>
          <w:sz w:val="32"/>
          <w:szCs w:val="32"/>
          <w:highlight w:val="none"/>
          <w:lang w:eastAsia="zh-CN"/>
        </w:rPr>
        <w:t>改版升级政府门户网站，做好政务公开专题专栏建设，对各类信息进行梳理分类、对政府首页进行美化升级、建设各类信息专栏、持续改善政府网站信息发布、解读回应、办事服务、互动交流服务效能，做好“我为政府网站找错”平台留言办理工作。</w:t>
      </w:r>
    </w:p>
    <w:p w14:paraId="257ECBA2">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Times New Roman"/>
          <w:spacing w:val="0"/>
          <w:sz w:val="32"/>
          <w:szCs w:val="32"/>
          <w:highlight w:val="none"/>
          <w:lang w:eastAsia="zh-CN"/>
        </w:rPr>
      </w:pPr>
      <w:r>
        <w:rPr>
          <w:rFonts w:hint="eastAsia" w:ascii="楷体_GB2312" w:hAnsi="楷体_GB2312" w:eastAsia="楷体_GB2312" w:cs="楷体_GB2312"/>
          <w:spacing w:val="0"/>
          <w:sz w:val="32"/>
          <w:szCs w:val="32"/>
          <w:highlight w:val="none"/>
          <w:lang w:eastAsia="zh-CN"/>
        </w:rPr>
        <w:t>（十二）高标准做好政府网站和政务新媒体监管。</w:t>
      </w:r>
      <w:r>
        <w:rPr>
          <w:rFonts w:hint="eastAsia" w:ascii="仿宋_GB2312" w:eastAsia="仿宋_GB2312" w:cs="Times New Roman"/>
          <w:spacing w:val="0"/>
          <w:sz w:val="32"/>
          <w:szCs w:val="32"/>
          <w:highlight w:val="none"/>
          <w:lang w:eastAsia="zh-CN"/>
        </w:rPr>
        <w:t>按照国务院</w:t>
      </w:r>
      <w:r>
        <w:rPr>
          <w:rFonts w:hint="eastAsia" w:ascii="仿宋_GB2312" w:eastAsia="仿宋_GB2312" w:cs="Times New Roman"/>
          <w:spacing w:val="0"/>
          <w:sz w:val="32"/>
          <w:szCs w:val="32"/>
          <w:highlight w:val="none"/>
          <w:lang w:val="en-US" w:eastAsia="zh-CN"/>
        </w:rPr>
        <w:t>及</w:t>
      </w:r>
      <w:r>
        <w:rPr>
          <w:rFonts w:hint="eastAsia" w:ascii="仿宋_GB2312" w:eastAsia="仿宋_GB2312" w:cs="Times New Roman"/>
          <w:spacing w:val="0"/>
          <w:sz w:val="32"/>
          <w:szCs w:val="32"/>
          <w:highlight w:val="none"/>
          <w:lang w:eastAsia="zh-CN"/>
        </w:rPr>
        <w:t>省政府、</w:t>
      </w:r>
      <w:r>
        <w:rPr>
          <w:rFonts w:hint="eastAsia" w:ascii="仿宋_GB2312" w:eastAsia="仿宋_GB2312" w:cs="Times New Roman"/>
          <w:spacing w:val="0"/>
          <w:sz w:val="32"/>
          <w:szCs w:val="32"/>
          <w:highlight w:val="none"/>
          <w:lang w:val="en-US" w:eastAsia="zh-CN"/>
        </w:rPr>
        <w:t>市政府</w:t>
      </w:r>
      <w:r>
        <w:rPr>
          <w:rFonts w:hint="eastAsia" w:ascii="仿宋_GB2312" w:eastAsia="仿宋_GB2312" w:cs="Times New Roman"/>
          <w:spacing w:val="0"/>
          <w:sz w:val="32"/>
          <w:szCs w:val="32"/>
          <w:highlight w:val="none"/>
          <w:lang w:eastAsia="zh-CN"/>
        </w:rPr>
        <w:t>有关要求，做好各级政府网站和政务新媒体监管工作，健全完善备案管理、开设关停、检查通报等全链条工作制度。持续完善政府网站和政务新媒体数字化监管平台功能，实时监控和预警，实现“一屏统管”；严格落实信息发布“三审三校”制度，实现统一备案、统一运维平台、一键式发布、一体化监管。加强政务新媒体“瘦身提质”，突出做大做强主账号，打造一批优质精品账号。强化政务新媒体矩阵体系建设，及时、准确、集中转载重要信息。</w:t>
      </w:r>
    </w:p>
    <w:p w14:paraId="67061508">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Times New Roman"/>
          <w:spacing w:val="0"/>
          <w:sz w:val="32"/>
          <w:szCs w:val="32"/>
          <w:highlight w:val="none"/>
          <w:lang w:eastAsia="zh-CN"/>
        </w:rPr>
      </w:pPr>
      <w:r>
        <w:rPr>
          <w:rFonts w:hint="eastAsia" w:ascii="楷体_GB2312" w:hAnsi="楷体_GB2312" w:eastAsia="楷体_GB2312" w:cs="楷体_GB2312"/>
          <w:spacing w:val="0"/>
          <w:sz w:val="32"/>
          <w:szCs w:val="32"/>
          <w:highlight w:val="none"/>
          <w:lang w:eastAsia="zh-CN"/>
        </w:rPr>
        <w:t>（十三）高品质打造政务公开线下阵地。</w:t>
      </w:r>
      <w:r>
        <w:rPr>
          <w:rFonts w:hint="eastAsia" w:ascii="仿宋_GB2312" w:eastAsia="仿宋_GB2312" w:cs="Times New Roman"/>
          <w:spacing w:val="0"/>
          <w:sz w:val="32"/>
          <w:szCs w:val="32"/>
          <w:highlight w:val="none"/>
          <w:lang w:eastAsia="zh-CN"/>
        </w:rPr>
        <w:t>规范</w:t>
      </w:r>
      <w:r>
        <w:rPr>
          <w:rFonts w:hint="eastAsia" w:ascii="仿宋_GB2312" w:eastAsia="仿宋_GB2312" w:cs="Times New Roman"/>
          <w:spacing w:val="0"/>
          <w:sz w:val="32"/>
          <w:szCs w:val="32"/>
          <w:highlight w:val="none"/>
          <w:lang w:val="en-US" w:eastAsia="zh-CN"/>
        </w:rPr>
        <w:t>管委会</w:t>
      </w:r>
      <w:r>
        <w:rPr>
          <w:rFonts w:hint="eastAsia" w:ascii="仿宋_GB2312" w:eastAsia="仿宋_GB2312" w:cs="Times New Roman"/>
          <w:spacing w:val="0"/>
          <w:sz w:val="32"/>
          <w:szCs w:val="32"/>
          <w:highlight w:val="none"/>
          <w:lang w:eastAsia="zh-CN"/>
        </w:rPr>
        <w:t>、街道、社区（村）三级政务公开专区标准化建设，将专区运营和企业、群众办事需求相融合，做强政府信息查询、信息公开申请、办事咨询答复等服务，探索实现政务公开专区查询服务系统与政府信息公开专栏、政府文件库等互联互通。优化完善政务公开专区功能，提高在专区开展重要政策现场解读、综合政策辅导、办事流程演示等活动的频次，推进政务公开和政务服务深度融合。加强品牌建设，选取重点区域、优势领域，科学合理进行品牌规划，做好典型经验提炼和特色化项目建设，以建设有特色、有亮点、有影响的政务公开专区，助力打造基层政务公开品牌。</w:t>
      </w:r>
    </w:p>
    <w:p w14:paraId="199D1E23">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pacing w:val="0"/>
          <w:sz w:val="32"/>
          <w:szCs w:val="32"/>
          <w:highlight w:val="none"/>
          <w:lang w:eastAsia="zh-CN"/>
        </w:rPr>
      </w:pPr>
      <w:r>
        <w:rPr>
          <w:rFonts w:hint="eastAsia" w:ascii="黑体" w:hAnsi="黑体" w:eastAsia="黑体" w:cs="黑体"/>
          <w:spacing w:val="0"/>
          <w:sz w:val="32"/>
          <w:szCs w:val="32"/>
          <w:highlight w:val="none"/>
          <w:lang w:eastAsia="zh-CN"/>
        </w:rPr>
        <w:t>六、夯实政务公开工作基础</w:t>
      </w:r>
    </w:p>
    <w:p w14:paraId="3756DF06">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Times New Roman"/>
          <w:spacing w:val="0"/>
          <w:sz w:val="32"/>
          <w:szCs w:val="32"/>
          <w:highlight w:val="none"/>
          <w:lang w:eastAsia="zh-CN"/>
        </w:rPr>
      </w:pPr>
      <w:r>
        <w:rPr>
          <w:rFonts w:hint="eastAsia" w:ascii="楷体_GB2312" w:hAnsi="楷体_GB2312" w:eastAsia="楷体_GB2312" w:cs="楷体_GB2312"/>
          <w:spacing w:val="0"/>
          <w:sz w:val="32"/>
          <w:szCs w:val="32"/>
          <w:highlight w:val="none"/>
          <w:lang w:eastAsia="zh-CN"/>
        </w:rPr>
        <w:t>（十四）进一步健全体制机制。</w:t>
      </w:r>
      <w:r>
        <w:rPr>
          <w:rFonts w:hint="eastAsia" w:ascii="仿宋_GB2312" w:eastAsia="仿宋_GB2312" w:cs="Times New Roman"/>
          <w:spacing w:val="0"/>
          <w:sz w:val="32"/>
          <w:szCs w:val="32"/>
          <w:highlight w:val="none"/>
          <w:lang w:eastAsia="zh-CN"/>
        </w:rPr>
        <w:t>加强组织领导，各</w:t>
      </w:r>
      <w:r>
        <w:rPr>
          <w:rFonts w:hint="eastAsia" w:ascii="仿宋_GB2312" w:eastAsia="仿宋_GB2312" w:cs="Times New Roman"/>
          <w:spacing w:val="0"/>
          <w:sz w:val="32"/>
          <w:szCs w:val="32"/>
          <w:highlight w:val="none"/>
          <w:lang w:val="en-US" w:eastAsia="zh-CN"/>
        </w:rPr>
        <w:t>部门（</w:t>
      </w:r>
      <w:r>
        <w:rPr>
          <w:rFonts w:hint="eastAsia" w:ascii="仿宋_GB2312" w:eastAsia="仿宋_GB2312" w:cs="Times New Roman"/>
          <w:spacing w:val="0"/>
          <w:sz w:val="32"/>
          <w:szCs w:val="32"/>
          <w:highlight w:val="none"/>
          <w:lang w:eastAsia="zh-CN"/>
        </w:rPr>
        <w:t>单位</w:t>
      </w:r>
      <w:r>
        <w:rPr>
          <w:rFonts w:hint="eastAsia" w:ascii="仿宋_GB2312" w:eastAsia="仿宋_GB2312" w:cs="Times New Roman"/>
          <w:spacing w:val="0"/>
          <w:sz w:val="32"/>
          <w:szCs w:val="32"/>
          <w:highlight w:val="none"/>
          <w:lang w:val="en-US" w:eastAsia="zh-CN"/>
        </w:rPr>
        <w:t>）</w:t>
      </w:r>
      <w:r>
        <w:rPr>
          <w:rFonts w:hint="eastAsia" w:ascii="仿宋_GB2312" w:eastAsia="仿宋_GB2312" w:cs="Times New Roman"/>
          <w:spacing w:val="0"/>
          <w:sz w:val="32"/>
          <w:szCs w:val="32"/>
          <w:highlight w:val="none"/>
          <w:lang w:eastAsia="zh-CN"/>
        </w:rPr>
        <w:t>要将政务公开纳入重要议事日程，健全完善政务公开</w:t>
      </w:r>
      <w:r>
        <w:rPr>
          <w:rFonts w:hint="eastAsia" w:ascii="仿宋_GB2312" w:eastAsia="仿宋_GB2312" w:cs="Times New Roman"/>
          <w:spacing w:val="0"/>
          <w:sz w:val="32"/>
          <w:szCs w:val="32"/>
          <w:highlight w:val="none"/>
          <w:lang w:val="en-US" w:eastAsia="zh-CN"/>
        </w:rPr>
        <w:t>协商</w:t>
      </w:r>
      <w:r>
        <w:rPr>
          <w:rFonts w:hint="eastAsia" w:ascii="仿宋_GB2312" w:eastAsia="仿宋_GB2312" w:cs="Times New Roman"/>
          <w:spacing w:val="0"/>
          <w:sz w:val="32"/>
          <w:szCs w:val="32"/>
          <w:highlight w:val="none"/>
          <w:lang w:eastAsia="zh-CN"/>
        </w:rPr>
        <w:t>机制，统筹发挥好</w:t>
      </w:r>
      <w:r>
        <w:rPr>
          <w:rFonts w:hint="eastAsia" w:ascii="仿宋_GB2312" w:eastAsia="仿宋_GB2312" w:cs="Times New Roman"/>
          <w:spacing w:val="0"/>
          <w:sz w:val="32"/>
          <w:szCs w:val="32"/>
          <w:highlight w:val="none"/>
          <w:lang w:val="en-US" w:eastAsia="zh-CN"/>
        </w:rPr>
        <w:t>综合室（党政办公室、办公室，以下简称综合业务部门）牵头</w:t>
      </w:r>
      <w:r>
        <w:rPr>
          <w:rFonts w:hint="eastAsia" w:ascii="仿宋_GB2312" w:eastAsia="仿宋_GB2312" w:cs="Times New Roman"/>
          <w:spacing w:val="0"/>
          <w:sz w:val="32"/>
          <w:szCs w:val="32"/>
          <w:highlight w:val="none"/>
          <w:lang w:eastAsia="zh-CN"/>
        </w:rPr>
        <w:t>调度、协调、指导、督促落实作用；主要负责同志每年要至少专题听取1次工作汇报，研究解决重、难点问题。建立联动机制，对涉及需要多部门、多机构配合的公开工作，</w:t>
      </w:r>
      <w:r>
        <w:rPr>
          <w:rFonts w:hint="eastAsia" w:ascii="仿宋_GB2312" w:eastAsia="仿宋_GB2312" w:cs="Times New Roman"/>
          <w:spacing w:val="0"/>
          <w:sz w:val="32"/>
          <w:szCs w:val="32"/>
          <w:highlight w:val="none"/>
          <w:lang w:val="en-US" w:eastAsia="zh-CN"/>
        </w:rPr>
        <w:t>综合业务部门要牵头</w:t>
      </w:r>
      <w:r>
        <w:rPr>
          <w:rFonts w:hint="eastAsia" w:ascii="仿宋_GB2312" w:eastAsia="仿宋_GB2312" w:cs="Times New Roman"/>
          <w:spacing w:val="0"/>
          <w:sz w:val="32"/>
          <w:szCs w:val="32"/>
          <w:highlight w:val="none"/>
          <w:lang w:eastAsia="zh-CN"/>
        </w:rPr>
        <w:t>探索建立跨层级、跨部门协调联动工作机制。</w:t>
      </w:r>
      <w:r>
        <w:rPr>
          <w:rFonts w:hint="eastAsia" w:ascii="仿宋_GB2312" w:eastAsia="仿宋_GB2312" w:cs="Times New Roman"/>
          <w:spacing w:val="0"/>
          <w:sz w:val="32"/>
          <w:szCs w:val="32"/>
          <w:highlight w:val="none"/>
          <w:lang w:val="en-US" w:eastAsia="zh-CN"/>
        </w:rPr>
        <w:t>积极参加领会管委会</w:t>
      </w:r>
      <w:r>
        <w:rPr>
          <w:rFonts w:hint="eastAsia" w:ascii="仿宋_GB2312" w:eastAsia="仿宋_GB2312" w:cs="Times New Roman"/>
          <w:spacing w:val="0"/>
          <w:sz w:val="32"/>
          <w:szCs w:val="32"/>
          <w:highlight w:val="none"/>
          <w:lang w:eastAsia="zh-CN"/>
        </w:rPr>
        <w:t>政务公开专题</w:t>
      </w:r>
      <w:r>
        <w:rPr>
          <w:rFonts w:hint="eastAsia" w:ascii="仿宋_GB2312" w:eastAsia="仿宋_GB2312" w:cs="Times New Roman"/>
          <w:spacing w:val="0"/>
          <w:sz w:val="32"/>
          <w:szCs w:val="32"/>
          <w:highlight w:val="none"/>
          <w:lang w:val="en-US" w:eastAsia="zh-CN"/>
        </w:rPr>
        <w:t>业务</w:t>
      </w:r>
      <w:r>
        <w:rPr>
          <w:rFonts w:hint="eastAsia" w:ascii="仿宋_GB2312" w:eastAsia="仿宋_GB2312" w:cs="Times New Roman"/>
          <w:spacing w:val="0"/>
          <w:sz w:val="32"/>
          <w:szCs w:val="32"/>
          <w:highlight w:val="none"/>
          <w:lang w:eastAsia="zh-CN"/>
        </w:rPr>
        <w:t>培训；鼓励到先进地区和基层一线调研学习，找差距、知不足，总结提炼经验，促进整体水平提升。</w:t>
      </w:r>
    </w:p>
    <w:p w14:paraId="047C921A">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Times New Roman"/>
          <w:spacing w:val="0"/>
          <w:sz w:val="32"/>
          <w:szCs w:val="32"/>
          <w:highlight w:val="none"/>
          <w:lang w:eastAsia="zh-CN"/>
        </w:rPr>
      </w:pPr>
      <w:r>
        <w:rPr>
          <w:rFonts w:hint="eastAsia" w:ascii="楷体_GB2312" w:hAnsi="楷体_GB2312" w:eastAsia="楷体_GB2312" w:cs="楷体_GB2312"/>
          <w:spacing w:val="0"/>
          <w:sz w:val="32"/>
          <w:szCs w:val="32"/>
          <w:highlight w:val="none"/>
          <w:lang w:eastAsia="zh-CN"/>
        </w:rPr>
        <w:t>（十五）进一步加强标准化建设。</w:t>
      </w:r>
      <w:r>
        <w:rPr>
          <w:rFonts w:hint="eastAsia" w:ascii="仿宋_GB2312" w:eastAsia="仿宋_GB2312" w:cs="Times New Roman"/>
          <w:spacing w:val="0"/>
          <w:sz w:val="32"/>
          <w:szCs w:val="32"/>
          <w:highlight w:val="none"/>
          <w:lang w:eastAsia="zh-CN"/>
        </w:rPr>
        <w:t>各</w:t>
      </w:r>
      <w:r>
        <w:rPr>
          <w:rFonts w:hint="eastAsia" w:ascii="仿宋_GB2312" w:eastAsia="仿宋_GB2312" w:cs="Times New Roman"/>
          <w:spacing w:val="0"/>
          <w:sz w:val="32"/>
          <w:szCs w:val="32"/>
          <w:highlight w:val="none"/>
          <w:lang w:val="en-US" w:eastAsia="zh-CN"/>
        </w:rPr>
        <w:t>部门（</w:t>
      </w:r>
      <w:r>
        <w:rPr>
          <w:rFonts w:hint="eastAsia" w:ascii="仿宋_GB2312" w:eastAsia="仿宋_GB2312" w:cs="Times New Roman"/>
          <w:spacing w:val="0"/>
          <w:sz w:val="32"/>
          <w:szCs w:val="32"/>
          <w:highlight w:val="none"/>
          <w:lang w:eastAsia="zh-CN"/>
        </w:rPr>
        <w:t>单位</w:t>
      </w:r>
      <w:r>
        <w:rPr>
          <w:rFonts w:hint="eastAsia" w:ascii="仿宋_GB2312" w:eastAsia="仿宋_GB2312" w:cs="Times New Roman"/>
          <w:spacing w:val="0"/>
          <w:sz w:val="32"/>
          <w:szCs w:val="32"/>
          <w:highlight w:val="none"/>
          <w:lang w:val="en-US" w:eastAsia="zh-CN"/>
        </w:rPr>
        <w:t>）</w:t>
      </w:r>
      <w:r>
        <w:rPr>
          <w:rFonts w:hint="eastAsia" w:ascii="仿宋_GB2312" w:eastAsia="仿宋_GB2312" w:cs="Times New Roman"/>
          <w:spacing w:val="0"/>
          <w:sz w:val="32"/>
          <w:szCs w:val="32"/>
          <w:highlight w:val="none"/>
          <w:lang w:eastAsia="zh-CN"/>
        </w:rPr>
        <w:t>要按照《全省主动公开事项目录编制工作方案》各项要求，</w:t>
      </w:r>
      <w:r>
        <w:rPr>
          <w:rFonts w:hint="eastAsia" w:ascii="仿宋_GB2312" w:eastAsia="仿宋_GB2312" w:cs="Times New Roman"/>
          <w:spacing w:val="0"/>
          <w:sz w:val="32"/>
          <w:szCs w:val="32"/>
          <w:highlight w:val="none"/>
          <w:lang w:val="en-US" w:eastAsia="zh-CN"/>
        </w:rPr>
        <w:t>以管委会</w:t>
      </w:r>
      <w:r>
        <w:rPr>
          <w:rFonts w:hint="eastAsia" w:ascii="仿宋_GB2312" w:eastAsia="仿宋_GB2312" w:cs="Times New Roman"/>
          <w:spacing w:val="0"/>
          <w:sz w:val="32"/>
          <w:szCs w:val="32"/>
          <w:highlight w:val="none"/>
          <w:lang w:eastAsia="zh-CN"/>
        </w:rPr>
        <w:t>主动公开事项目录</w:t>
      </w:r>
      <w:r>
        <w:rPr>
          <w:rFonts w:hint="eastAsia" w:ascii="仿宋_GB2312" w:eastAsia="仿宋_GB2312" w:cs="Times New Roman"/>
          <w:spacing w:val="0"/>
          <w:sz w:val="32"/>
          <w:szCs w:val="32"/>
          <w:highlight w:val="none"/>
          <w:lang w:val="en-US" w:eastAsia="zh-CN"/>
        </w:rPr>
        <w:t>为模板（详见附件），</w:t>
      </w:r>
      <w:r>
        <w:rPr>
          <w:rFonts w:hint="eastAsia" w:ascii="仿宋_GB2312" w:eastAsia="仿宋_GB2312" w:cs="Times New Roman"/>
          <w:spacing w:val="0"/>
          <w:sz w:val="32"/>
          <w:szCs w:val="32"/>
          <w:highlight w:val="none"/>
          <w:lang w:eastAsia="zh-CN"/>
        </w:rPr>
        <w:t>分层级分领域梳理确定法定公开事项，尽快形成、及时动态调整本领域本系统主动公开事项目录，做到法定公开事项主动公开到位，其他事项审慎主动公开。继续开展政务公开工作典型案例评选，广泛征集和推广一批政策解读、依申请公开、政府网站和政务新媒体建设管理等方面的典型案例，交流分享创新经验做法，发挥示范引领作用。</w:t>
      </w:r>
    </w:p>
    <w:p w14:paraId="1E828585">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cs="Times New Roman"/>
          <w:spacing w:val="0"/>
          <w:sz w:val="32"/>
          <w:szCs w:val="32"/>
          <w:highlight w:val="none"/>
          <w:lang w:eastAsia="zh-CN"/>
        </w:rPr>
      </w:pPr>
      <w:r>
        <w:rPr>
          <w:rFonts w:hint="eastAsia" w:ascii="楷体_GB2312" w:hAnsi="楷体_GB2312" w:eastAsia="楷体_GB2312" w:cs="楷体_GB2312"/>
          <w:spacing w:val="0"/>
          <w:sz w:val="32"/>
          <w:szCs w:val="32"/>
          <w:highlight w:val="none"/>
          <w:lang w:eastAsia="zh-CN"/>
        </w:rPr>
        <w:t>（十六）进一步做好督导考核。</w:t>
      </w:r>
      <w:r>
        <w:rPr>
          <w:rFonts w:hint="eastAsia" w:ascii="仿宋_GB2312" w:eastAsia="仿宋_GB2312" w:cs="Times New Roman"/>
          <w:spacing w:val="0"/>
          <w:sz w:val="32"/>
          <w:szCs w:val="32"/>
          <w:highlight w:val="none"/>
          <w:lang w:eastAsia="zh-CN"/>
        </w:rPr>
        <w:t>管委会办公室要持续加强日常监管，督促任务落实，定期通报情况，对表现突出的予以表扬，对工作落实不到位、问题较多的及时约谈提醒，依法依规追责问责。各</w:t>
      </w:r>
      <w:r>
        <w:rPr>
          <w:rFonts w:hint="eastAsia" w:ascii="仿宋_GB2312" w:eastAsia="仿宋_GB2312" w:cs="Times New Roman"/>
          <w:spacing w:val="0"/>
          <w:sz w:val="32"/>
          <w:szCs w:val="32"/>
          <w:highlight w:val="none"/>
          <w:lang w:val="en-US" w:eastAsia="zh-CN"/>
        </w:rPr>
        <w:t>部门（</w:t>
      </w:r>
      <w:r>
        <w:rPr>
          <w:rFonts w:hint="eastAsia" w:ascii="仿宋_GB2312" w:eastAsia="仿宋_GB2312" w:cs="Times New Roman"/>
          <w:spacing w:val="0"/>
          <w:sz w:val="32"/>
          <w:szCs w:val="32"/>
          <w:highlight w:val="none"/>
          <w:lang w:eastAsia="zh-CN"/>
        </w:rPr>
        <w:t>单位</w:t>
      </w:r>
      <w:r>
        <w:rPr>
          <w:rFonts w:hint="eastAsia" w:ascii="仿宋_GB2312" w:eastAsia="仿宋_GB2312" w:cs="Times New Roman"/>
          <w:spacing w:val="0"/>
          <w:sz w:val="32"/>
          <w:szCs w:val="32"/>
          <w:highlight w:val="none"/>
          <w:lang w:val="en-US" w:eastAsia="zh-CN"/>
        </w:rPr>
        <w:t>）</w:t>
      </w:r>
      <w:r>
        <w:rPr>
          <w:rFonts w:hint="eastAsia" w:ascii="仿宋_GB2312" w:eastAsia="仿宋_GB2312" w:cs="Times New Roman"/>
          <w:spacing w:val="0"/>
          <w:sz w:val="32"/>
          <w:szCs w:val="32"/>
          <w:highlight w:val="none"/>
          <w:lang w:eastAsia="zh-CN"/>
        </w:rPr>
        <w:t>要坚持问题导向，聚焦问题短板，狠抓工作落实。鼓励各</w:t>
      </w:r>
      <w:r>
        <w:rPr>
          <w:rFonts w:hint="eastAsia" w:ascii="仿宋_GB2312" w:eastAsia="仿宋_GB2312" w:cs="Times New Roman"/>
          <w:spacing w:val="0"/>
          <w:sz w:val="32"/>
          <w:szCs w:val="32"/>
          <w:highlight w:val="none"/>
          <w:lang w:val="en-US" w:eastAsia="zh-CN"/>
        </w:rPr>
        <w:t>部门（</w:t>
      </w:r>
      <w:r>
        <w:rPr>
          <w:rFonts w:hint="eastAsia" w:ascii="仿宋_GB2312" w:eastAsia="仿宋_GB2312" w:cs="Times New Roman"/>
          <w:spacing w:val="0"/>
          <w:sz w:val="32"/>
          <w:szCs w:val="32"/>
          <w:highlight w:val="none"/>
          <w:lang w:eastAsia="zh-CN"/>
        </w:rPr>
        <w:t>单位</w:t>
      </w:r>
      <w:r>
        <w:rPr>
          <w:rFonts w:hint="eastAsia" w:ascii="仿宋_GB2312" w:eastAsia="仿宋_GB2312" w:cs="Times New Roman"/>
          <w:spacing w:val="0"/>
          <w:sz w:val="32"/>
          <w:szCs w:val="32"/>
          <w:highlight w:val="none"/>
          <w:lang w:val="en-US" w:eastAsia="zh-CN"/>
        </w:rPr>
        <w:t>）</w:t>
      </w:r>
      <w:r>
        <w:rPr>
          <w:rFonts w:hint="eastAsia" w:ascii="仿宋_GB2312" w:eastAsia="仿宋_GB2312" w:cs="Times New Roman"/>
          <w:spacing w:val="0"/>
          <w:sz w:val="32"/>
          <w:szCs w:val="32"/>
          <w:highlight w:val="none"/>
          <w:lang w:eastAsia="zh-CN"/>
        </w:rPr>
        <w:t>结合自身实际总结提炼政务公开工作经验，加强在国家</w:t>
      </w:r>
      <w:r>
        <w:rPr>
          <w:rFonts w:hint="eastAsia" w:ascii="仿宋_GB2312" w:eastAsia="仿宋_GB2312" w:cs="Times New Roman"/>
          <w:spacing w:val="0"/>
          <w:sz w:val="32"/>
          <w:szCs w:val="32"/>
          <w:highlight w:val="none"/>
          <w:lang w:val="en-US" w:eastAsia="zh-CN"/>
        </w:rPr>
        <w:t>和</w:t>
      </w:r>
      <w:r>
        <w:rPr>
          <w:rFonts w:hint="eastAsia" w:ascii="仿宋_GB2312" w:eastAsia="仿宋_GB2312" w:cs="Times New Roman"/>
          <w:spacing w:val="0"/>
          <w:sz w:val="32"/>
          <w:szCs w:val="32"/>
          <w:highlight w:val="none"/>
          <w:lang w:eastAsia="zh-CN"/>
        </w:rPr>
        <w:t>省、市级主流媒体平台宣传推广力度。</w:t>
      </w:r>
    </w:p>
    <w:p w14:paraId="0237BAC8">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both"/>
        <w:textAlignment w:val="auto"/>
        <w:rPr>
          <w:rFonts w:eastAsia="宋体" w:cs="Times New Roman"/>
          <w:spacing w:val="0"/>
          <w:szCs w:val="22"/>
          <w:highlight w:val="none"/>
        </w:rPr>
      </w:pPr>
      <w:r>
        <w:rPr>
          <w:rFonts w:hint="eastAsia" w:ascii="仿宋_GB2312" w:eastAsia="仿宋_GB2312" w:cs="Times New Roman"/>
          <w:spacing w:val="0"/>
          <w:sz w:val="32"/>
          <w:szCs w:val="32"/>
          <w:highlight w:val="none"/>
          <w:lang w:eastAsia="zh-CN"/>
        </w:rPr>
        <w:t>各</w:t>
      </w:r>
      <w:r>
        <w:rPr>
          <w:rFonts w:hint="eastAsia" w:ascii="仿宋_GB2312" w:eastAsia="仿宋_GB2312" w:cs="Times New Roman"/>
          <w:spacing w:val="0"/>
          <w:sz w:val="32"/>
          <w:szCs w:val="32"/>
          <w:highlight w:val="none"/>
          <w:lang w:val="en-US" w:eastAsia="zh-CN"/>
        </w:rPr>
        <w:t>部门（</w:t>
      </w:r>
      <w:r>
        <w:rPr>
          <w:rFonts w:hint="eastAsia" w:ascii="仿宋_GB2312" w:eastAsia="仿宋_GB2312" w:cs="Times New Roman"/>
          <w:spacing w:val="0"/>
          <w:sz w:val="32"/>
          <w:szCs w:val="32"/>
          <w:highlight w:val="none"/>
          <w:lang w:eastAsia="zh-CN"/>
        </w:rPr>
        <w:t>单位</w:t>
      </w:r>
      <w:r>
        <w:rPr>
          <w:rFonts w:hint="eastAsia" w:ascii="仿宋_GB2312" w:eastAsia="仿宋_GB2312" w:cs="Times New Roman"/>
          <w:spacing w:val="0"/>
          <w:sz w:val="32"/>
          <w:szCs w:val="32"/>
          <w:highlight w:val="none"/>
          <w:lang w:val="en-US" w:eastAsia="zh-CN"/>
        </w:rPr>
        <w:t>）</w:t>
      </w:r>
      <w:r>
        <w:rPr>
          <w:rFonts w:hint="eastAsia" w:ascii="仿宋_GB2312" w:eastAsia="仿宋_GB2312" w:cs="Times New Roman"/>
          <w:spacing w:val="0"/>
          <w:sz w:val="32"/>
          <w:szCs w:val="32"/>
          <w:highlight w:val="none"/>
          <w:lang w:eastAsia="zh-CN"/>
        </w:rPr>
        <w:t>要对照重点工作任务分工抓好落实，编制</w:t>
      </w:r>
      <w:r>
        <w:rPr>
          <w:rFonts w:hint="eastAsia" w:ascii="仿宋_GB2312" w:eastAsia="仿宋_GB2312" w:cs="Times New Roman"/>
          <w:spacing w:val="0"/>
          <w:sz w:val="32"/>
          <w:szCs w:val="32"/>
          <w:highlight w:val="none"/>
          <w:lang w:val="en-US" w:eastAsia="zh-CN"/>
        </w:rPr>
        <w:t>并公开</w:t>
      </w:r>
      <w:r>
        <w:rPr>
          <w:rFonts w:hint="eastAsia" w:ascii="仿宋_GB2312" w:eastAsia="仿宋_GB2312" w:cs="Times New Roman"/>
          <w:spacing w:val="0"/>
          <w:sz w:val="32"/>
          <w:szCs w:val="32"/>
          <w:highlight w:val="none"/>
          <w:lang w:eastAsia="zh-CN"/>
        </w:rPr>
        <w:t>政务公开要点工作实施方案。政务公开要点工作落实情况需纳入政府信息公开工作年度报告予以公开，接受社会监督。</w:t>
      </w:r>
    </w:p>
    <w:p w14:paraId="754BC73D">
      <w:pPr>
        <w:keepNext w:val="0"/>
        <w:keepLines w:val="0"/>
        <w:pageBreakBefore w:val="0"/>
        <w:widowControl w:val="0"/>
        <w:shd w:val="clear"/>
        <w:kinsoku/>
        <w:wordWrap/>
        <w:overflowPunct/>
        <w:topLinePunct w:val="0"/>
        <w:autoSpaceDE/>
        <w:autoSpaceDN/>
        <w:bidi w:val="0"/>
        <w:adjustRightInd/>
        <w:snapToGrid/>
        <w:spacing w:after="0" w:line="579" w:lineRule="exact"/>
        <w:jc w:val="both"/>
        <w:textAlignment w:val="auto"/>
        <w:rPr>
          <w:rFonts w:hint="eastAsia" w:ascii="仿宋_GB2312" w:hAnsi="仿宋_GB2312" w:eastAsia="仿宋_GB2312" w:cs="仿宋_GB2312"/>
          <w:spacing w:val="0"/>
          <w:kern w:val="2"/>
          <w:sz w:val="32"/>
          <w:szCs w:val="32"/>
          <w:lang w:val="en-US" w:eastAsia="zh-CN" w:bidi="ar-SA"/>
        </w:rPr>
      </w:pPr>
    </w:p>
    <w:p w14:paraId="12F66AEF">
      <w:pPr>
        <w:keepNext w:val="0"/>
        <w:keepLines w:val="0"/>
        <w:pageBreakBefore w:val="0"/>
        <w:widowControl w:val="0"/>
        <w:shd w:val="clear"/>
        <w:kinsoku/>
        <w:wordWrap/>
        <w:overflowPunct/>
        <w:topLinePunct w:val="0"/>
        <w:autoSpaceDE/>
        <w:autoSpaceDN/>
        <w:bidi w:val="0"/>
        <w:adjustRightInd/>
        <w:snapToGrid/>
        <w:spacing w:after="0" w:line="579" w:lineRule="exact"/>
        <w:ind w:left="1598" w:leftChars="304" w:hanging="960" w:hangingChars="3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附件：济南新旧动能转换起步区2024年政务公开优化提升指标分解任务清单</w:t>
      </w:r>
    </w:p>
    <w:p w14:paraId="27DB27A1">
      <w:pPr>
        <w:keepNext w:val="0"/>
        <w:keepLines w:val="0"/>
        <w:pageBreakBefore w:val="0"/>
        <w:widowControl w:val="0"/>
        <w:kinsoku/>
        <w:wordWrap/>
        <w:overflowPunct/>
        <w:topLinePunct w:val="0"/>
        <w:autoSpaceDE/>
        <w:autoSpaceDN/>
        <w:bidi w:val="0"/>
        <w:adjustRightInd w:val="0"/>
        <w:snapToGrid w:val="0"/>
        <w:spacing w:line="579" w:lineRule="exact"/>
        <w:ind w:left="0" w:leftChars="0" w:right="0" w:firstLine="640" w:firstLineChars="200"/>
        <w:jc w:val="both"/>
        <w:textAlignment w:val="auto"/>
        <w:rPr>
          <w:rFonts w:hint="eastAsia" w:ascii="仿宋_GB2312" w:hAnsi="仿宋_GB2312" w:eastAsia="仿宋_GB2312" w:cs="仿宋_GB2312"/>
          <w:spacing w:val="0"/>
          <w:sz w:val="32"/>
          <w:szCs w:val="32"/>
          <w:lang w:val="zh-CN"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70F98002">
      <w:pPr>
        <w:keepNext w:val="0"/>
        <w:keepLines w:val="0"/>
        <w:pageBreakBefore w:val="0"/>
        <w:shd w:val="clear"/>
        <w:wordWrap/>
        <w:overflowPunct/>
        <w:topLinePunct w:val="0"/>
        <w:bidi w:val="0"/>
        <w:spacing w:line="579" w:lineRule="exact"/>
        <w:jc w:val="left"/>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w:t>
      </w:r>
    </w:p>
    <w:p w14:paraId="2114BCB9">
      <w:pPr>
        <w:keepNext w:val="0"/>
        <w:keepLines w:val="0"/>
        <w:pageBreakBefore w:val="0"/>
        <w:widowControl w:val="0"/>
        <w:shd w:val="clear"/>
        <w:kinsoku/>
        <w:wordWrap/>
        <w:overflowPunct/>
        <w:topLinePunct w:val="0"/>
        <w:autoSpaceDE/>
        <w:autoSpaceDN/>
        <w:bidi w:val="0"/>
        <w:adjustRightInd/>
        <w:snapToGrid/>
        <w:spacing w:before="323" w:beforeLines="100" w:line="579"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rPr>
        <w:t>济南</w:t>
      </w:r>
      <w:r>
        <w:rPr>
          <w:rFonts w:hint="eastAsia" w:ascii="方正小标宋简体" w:hAnsi="方正小标宋简体" w:eastAsia="方正小标宋简体" w:cs="方正小标宋简体"/>
          <w:spacing w:val="0"/>
          <w:sz w:val="44"/>
          <w:szCs w:val="44"/>
          <w:lang w:val="en-US" w:eastAsia="zh-CN"/>
        </w:rPr>
        <w:t>新旧动能转换起步区</w:t>
      </w:r>
      <w:r>
        <w:rPr>
          <w:rFonts w:hint="eastAsia" w:ascii="方正小标宋简体" w:hAnsi="方正小标宋简体" w:eastAsia="方正小标宋简体" w:cs="方正小标宋简体"/>
          <w:spacing w:val="0"/>
          <w:sz w:val="44"/>
          <w:szCs w:val="44"/>
          <w:lang w:eastAsia="zh-CN"/>
        </w:rPr>
        <w:t>2024</w:t>
      </w:r>
      <w:r>
        <w:rPr>
          <w:rFonts w:hint="eastAsia" w:ascii="方正小标宋简体" w:hAnsi="方正小标宋简体" w:eastAsia="方正小标宋简体" w:cs="方正小标宋简体"/>
          <w:spacing w:val="0"/>
          <w:sz w:val="44"/>
          <w:szCs w:val="44"/>
        </w:rPr>
        <w:t>年政务公开优化提升指标分解任务清单</w:t>
      </w:r>
    </w:p>
    <w:p w14:paraId="5F0DDF1B">
      <w:pPr>
        <w:pStyle w:val="9"/>
        <w:rPr>
          <w:rFonts w:hint="default"/>
          <w:lang w:val="en-US" w:eastAsia="zh-CN"/>
        </w:rPr>
      </w:pPr>
    </w:p>
    <w:tbl>
      <w:tblPr>
        <w:tblStyle w:val="10"/>
        <w:tblW w:w="14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7"/>
        <w:gridCol w:w="1222"/>
        <w:gridCol w:w="1264"/>
        <w:gridCol w:w="1800"/>
        <w:gridCol w:w="7500"/>
        <w:gridCol w:w="1501"/>
      </w:tblGrid>
      <w:tr w14:paraId="30722557">
        <w:tblPrEx>
          <w:tblCellMar>
            <w:top w:w="0" w:type="dxa"/>
            <w:left w:w="108" w:type="dxa"/>
            <w:bottom w:w="0" w:type="dxa"/>
            <w:right w:w="108" w:type="dxa"/>
          </w:tblCellMar>
        </w:tblPrEx>
        <w:trPr>
          <w:trHeight w:val="600" w:hRule="atLeast"/>
          <w:tblHeader/>
          <w:jc w:val="center"/>
        </w:trPr>
        <w:tc>
          <w:tcPr>
            <w:tcW w:w="1307" w:type="dxa"/>
            <w:shd w:val="clear" w:color="auto" w:fill="auto"/>
            <w:vAlign w:val="center"/>
          </w:tcPr>
          <w:p w14:paraId="58F226C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黑体" w:hAnsi="黑体" w:eastAsia="黑体" w:cs="宋体"/>
                <w:color w:val="auto"/>
                <w:kern w:val="0"/>
                <w:sz w:val="24"/>
                <w:szCs w:val="21"/>
              </w:rPr>
            </w:pPr>
            <w:r>
              <w:rPr>
                <w:rFonts w:hint="eastAsia" w:ascii="黑体" w:hAnsi="黑体" w:eastAsia="黑体" w:cs="宋体"/>
                <w:color w:val="auto"/>
                <w:kern w:val="0"/>
                <w:sz w:val="24"/>
                <w:szCs w:val="21"/>
              </w:rPr>
              <w:t>一级指标</w:t>
            </w:r>
          </w:p>
        </w:tc>
        <w:tc>
          <w:tcPr>
            <w:tcW w:w="1222" w:type="dxa"/>
            <w:shd w:val="clear" w:color="auto" w:fill="auto"/>
            <w:vAlign w:val="center"/>
          </w:tcPr>
          <w:p w14:paraId="4524B2E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黑体" w:hAnsi="黑体" w:eastAsia="黑体" w:cs="宋体"/>
                <w:color w:val="auto"/>
                <w:kern w:val="0"/>
                <w:sz w:val="24"/>
                <w:szCs w:val="21"/>
              </w:rPr>
            </w:pPr>
            <w:r>
              <w:rPr>
                <w:rFonts w:hint="eastAsia" w:ascii="黑体" w:hAnsi="黑体" w:eastAsia="黑体" w:cs="宋体"/>
                <w:color w:val="auto"/>
                <w:kern w:val="0"/>
                <w:sz w:val="24"/>
                <w:szCs w:val="21"/>
              </w:rPr>
              <w:t>二级指标</w:t>
            </w:r>
          </w:p>
        </w:tc>
        <w:tc>
          <w:tcPr>
            <w:tcW w:w="1264" w:type="dxa"/>
            <w:shd w:val="clear" w:color="auto" w:fill="auto"/>
            <w:vAlign w:val="center"/>
          </w:tcPr>
          <w:p w14:paraId="10C19EC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黑体" w:hAnsi="黑体" w:eastAsia="黑体" w:cs="宋体"/>
                <w:color w:val="auto"/>
                <w:kern w:val="0"/>
                <w:sz w:val="24"/>
                <w:szCs w:val="21"/>
              </w:rPr>
            </w:pPr>
            <w:r>
              <w:rPr>
                <w:rFonts w:hint="eastAsia" w:ascii="黑体" w:hAnsi="黑体" w:eastAsia="黑体" w:cs="宋体"/>
                <w:color w:val="auto"/>
                <w:kern w:val="0"/>
                <w:sz w:val="24"/>
                <w:szCs w:val="21"/>
              </w:rPr>
              <w:t>三级指标</w:t>
            </w:r>
          </w:p>
        </w:tc>
        <w:tc>
          <w:tcPr>
            <w:tcW w:w="1800" w:type="dxa"/>
            <w:shd w:val="clear" w:color="auto" w:fill="auto"/>
            <w:vAlign w:val="center"/>
          </w:tcPr>
          <w:p w14:paraId="74E6C2F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黑体" w:hAnsi="黑体" w:eastAsia="黑体" w:cs="宋体"/>
                <w:color w:val="auto"/>
                <w:kern w:val="0"/>
                <w:sz w:val="24"/>
                <w:szCs w:val="21"/>
              </w:rPr>
            </w:pPr>
            <w:r>
              <w:rPr>
                <w:rFonts w:hint="eastAsia" w:ascii="黑体" w:hAnsi="黑体" w:eastAsia="黑体" w:cs="宋体"/>
                <w:color w:val="auto"/>
                <w:kern w:val="0"/>
                <w:sz w:val="24"/>
                <w:szCs w:val="21"/>
              </w:rPr>
              <w:t>四级指标</w:t>
            </w:r>
          </w:p>
        </w:tc>
        <w:tc>
          <w:tcPr>
            <w:tcW w:w="7500" w:type="dxa"/>
            <w:shd w:val="clear" w:color="auto" w:fill="auto"/>
            <w:vAlign w:val="center"/>
          </w:tcPr>
          <w:p w14:paraId="7D88D3E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黑体" w:hAnsi="黑体" w:eastAsia="黑体" w:cs="宋体"/>
                <w:color w:val="auto"/>
                <w:kern w:val="0"/>
                <w:sz w:val="24"/>
                <w:szCs w:val="21"/>
              </w:rPr>
            </w:pPr>
            <w:r>
              <w:rPr>
                <w:rFonts w:hint="eastAsia" w:ascii="黑体" w:hAnsi="黑体" w:eastAsia="黑体" w:cs="宋体"/>
                <w:color w:val="auto"/>
                <w:kern w:val="0"/>
                <w:sz w:val="24"/>
                <w:szCs w:val="21"/>
              </w:rPr>
              <w:t>五级指标</w:t>
            </w:r>
          </w:p>
        </w:tc>
        <w:tc>
          <w:tcPr>
            <w:tcW w:w="1501" w:type="dxa"/>
            <w:shd w:val="clear" w:color="auto" w:fill="auto"/>
            <w:vAlign w:val="center"/>
          </w:tcPr>
          <w:p w14:paraId="32A9E79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黑体" w:hAnsi="黑体" w:eastAsia="黑体" w:cs="宋体"/>
                <w:color w:val="auto"/>
                <w:kern w:val="0"/>
                <w:sz w:val="24"/>
                <w:szCs w:val="21"/>
                <w:lang w:val="en-US" w:eastAsia="zh-CN"/>
              </w:rPr>
            </w:pPr>
            <w:r>
              <w:rPr>
                <w:rFonts w:hint="eastAsia" w:ascii="黑体" w:hAnsi="黑体" w:eastAsia="黑体" w:cs="宋体"/>
                <w:color w:val="auto"/>
                <w:kern w:val="0"/>
                <w:sz w:val="24"/>
                <w:szCs w:val="21"/>
                <w:lang w:val="en-US" w:eastAsia="zh-CN"/>
              </w:rPr>
              <w:t>责任单位</w:t>
            </w:r>
          </w:p>
        </w:tc>
      </w:tr>
      <w:tr w14:paraId="43EB32A0">
        <w:tblPrEx>
          <w:shd w:val="clear" w:color="auto" w:fill="auto"/>
          <w:tblCellMar>
            <w:top w:w="0" w:type="dxa"/>
            <w:left w:w="108" w:type="dxa"/>
            <w:bottom w:w="0" w:type="dxa"/>
            <w:right w:w="108" w:type="dxa"/>
          </w:tblCellMar>
        </w:tblPrEx>
        <w:trPr>
          <w:trHeight w:val="783" w:hRule="atLeast"/>
          <w:jc w:val="center"/>
        </w:trPr>
        <w:tc>
          <w:tcPr>
            <w:tcW w:w="1307" w:type="dxa"/>
            <w:vMerge w:val="restart"/>
            <w:shd w:val="clear" w:color="auto" w:fill="auto"/>
            <w:vAlign w:val="center"/>
          </w:tcPr>
          <w:p w14:paraId="52DFB3B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3D0B197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法定基础信息</w:t>
            </w:r>
          </w:p>
        </w:tc>
        <w:tc>
          <w:tcPr>
            <w:tcW w:w="1264" w:type="dxa"/>
            <w:vMerge w:val="restart"/>
            <w:shd w:val="clear" w:color="auto" w:fill="auto"/>
            <w:vAlign w:val="center"/>
          </w:tcPr>
          <w:p w14:paraId="592D7AC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行政规范性文件</w:t>
            </w:r>
          </w:p>
        </w:tc>
        <w:tc>
          <w:tcPr>
            <w:tcW w:w="1800" w:type="dxa"/>
            <w:vMerge w:val="restart"/>
            <w:shd w:val="clear" w:color="auto" w:fill="auto"/>
            <w:vAlign w:val="center"/>
          </w:tcPr>
          <w:p w14:paraId="074EE03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发布情况</w:t>
            </w:r>
          </w:p>
        </w:tc>
        <w:tc>
          <w:tcPr>
            <w:tcW w:w="7500" w:type="dxa"/>
            <w:shd w:val="clear" w:color="auto" w:fill="auto"/>
            <w:vAlign w:val="center"/>
          </w:tcPr>
          <w:p w14:paraId="7E7B43D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是否在政府网站政府信息公开专栏中集中发布</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及部门行政规范性文件</w:t>
            </w:r>
          </w:p>
        </w:tc>
        <w:tc>
          <w:tcPr>
            <w:tcW w:w="1501" w:type="dxa"/>
            <w:vMerge w:val="restart"/>
            <w:shd w:val="clear" w:color="auto" w:fill="auto"/>
            <w:vAlign w:val="center"/>
          </w:tcPr>
          <w:p w14:paraId="197E37A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p w14:paraId="2311F32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相关职能部门</w:t>
            </w:r>
          </w:p>
        </w:tc>
      </w:tr>
      <w:tr w14:paraId="4706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307" w:type="dxa"/>
            <w:vMerge w:val="continue"/>
            <w:shd w:val="clear" w:color="auto" w:fill="auto"/>
            <w:vAlign w:val="center"/>
          </w:tcPr>
          <w:p w14:paraId="6EEC67A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786F10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B0F842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52EBE12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5F24A72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公开页面是否详细列明了标题、正文、文号、成文日期、发布日期、有效性等</w:t>
            </w:r>
          </w:p>
        </w:tc>
        <w:tc>
          <w:tcPr>
            <w:tcW w:w="1501" w:type="dxa"/>
            <w:vMerge w:val="continue"/>
            <w:shd w:val="clear" w:color="auto" w:fill="auto"/>
            <w:vAlign w:val="center"/>
          </w:tcPr>
          <w:p w14:paraId="2FFE9F1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337D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307" w:type="dxa"/>
            <w:vMerge w:val="continue"/>
            <w:shd w:val="clear" w:color="auto" w:fill="auto"/>
            <w:vAlign w:val="center"/>
          </w:tcPr>
          <w:p w14:paraId="0B95494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988C39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E82922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034A67A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清理与标注</w:t>
            </w:r>
          </w:p>
        </w:tc>
        <w:tc>
          <w:tcPr>
            <w:tcW w:w="7500" w:type="dxa"/>
            <w:shd w:val="clear" w:color="auto" w:fill="auto"/>
            <w:vAlign w:val="center"/>
          </w:tcPr>
          <w:p w14:paraId="2DC3C56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是否发布了</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行政规范性文件清理结果（至少每隔2年清理一次）</w:t>
            </w:r>
          </w:p>
        </w:tc>
        <w:tc>
          <w:tcPr>
            <w:tcW w:w="1501" w:type="dxa"/>
            <w:vMerge w:val="continue"/>
            <w:shd w:val="clear" w:color="auto" w:fill="auto"/>
            <w:vAlign w:val="center"/>
          </w:tcPr>
          <w:p w14:paraId="3C7DC43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23E56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307" w:type="dxa"/>
            <w:vMerge w:val="continue"/>
            <w:shd w:val="clear" w:color="auto" w:fill="auto"/>
            <w:vAlign w:val="center"/>
          </w:tcPr>
          <w:p w14:paraId="45F0688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284B3D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01F7F1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D14EBB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5591D48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发生修改、废止、失效等情况，是否及时在公开页面更新有效性标注</w:t>
            </w:r>
          </w:p>
        </w:tc>
        <w:tc>
          <w:tcPr>
            <w:tcW w:w="1501" w:type="dxa"/>
            <w:vMerge w:val="continue"/>
            <w:shd w:val="clear" w:color="auto" w:fill="auto"/>
            <w:vAlign w:val="center"/>
          </w:tcPr>
          <w:p w14:paraId="41B244B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44E1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307" w:type="dxa"/>
            <w:vMerge w:val="continue"/>
            <w:shd w:val="clear" w:color="auto" w:fill="auto"/>
            <w:vAlign w:val="center"/>
          </w:tcPr>
          <w:p w14:paraId="2CE3C2F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58B831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07A80F0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其他文件</w:t>
            </w:r>
          </w:p>
        </w:tc>
        <w:tc>
          <w:tcPr>
            <w:tcW w:w="1800" w:type="dxa"/>
            <w:shd w:val="clear" w:color="auto" w:fill="auto"/>
            <w:vAlign w:val="center"/>
          </w:tcPr>
          <w:p w14:paraId="0A99C49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栏目目录</w:t>
            </w:r>
          </w:p>
        </w:tc>
        <w:tc>
          <w:tcPr>
            <w:tcW w:w="7500" w:type="dxa"/>
            <w:shd w:val="clear" w:color="auto" w:fill="auto"/>
            <w:vAlign w:val="center"/>
          </w:tcPr>
          <w:p w14:paraId="7F5625A3">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是否在政府网站政府信息公开专栏中集中发布</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及部门其他文件</w:t>
            </w:r>
          </w:p>
        </w:tc>
        <w:tc>
          <w:tcPr>
            <w:tcW w:w="1501" w:type="dxa"/>
            <w:vMerge w:val="restart"/>
            <w:shd w:val="clear" w:color="auto" w:fill="auto"/>
            <w:vAlign w:val="center"/>
          </w:tcPr>
          <w:p w14:paraId="6A6C46F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办公室牵头，各职能部门、直属单位、各街道办事处配合</w:t>
            </w:r>
          </w:p>
        </w:tc>
      </w:tr>
      <w:tr w14:paraId="5CAC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7" w:hRule="atLeast"/>
          <w:jc w:val="center"/>
        </w:trPr>
        <w:tc>
          <w:tcPr>
            <w:tcW w:w="1307" w:type="dxa"/>
            <w:vMerge w:val="continue"/>
            <w:shd w:val="clear" w:color="auto" w:fill="auto"/>
            <w:vAlign w:val="center"/>
          </w:tcPr>
          <w:p w14:paraId="1198519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DA4195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44C0B8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2576974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发布内容</w:t>
            </w:r>
          </w:p>
        </w:tc>
        <w:tc>
          <w:tcPr>
            <w:tcW w:w="7500" w:type="dxa"/>
            <w:shd w:val="clear" w:color="auto" w:fill="auto"/>
            <w:vAlign w:val="center"/>
          </w:tcPr>
          <w:p w14:paraId="262FB7F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公开页面是否详细列明了标题、正文、文号、成文日期、发布日期等</w:t>
            </w:r>
          </w:p>
        </w:tc>
        <w:tc>
          <w:tcPr>
            <w:tcW w:w="1501" w:type="dxa"/>
            <w:vMerge w:val="continue"/>
            <w:shd w:val="clear" w:color="auto" w:fill="auto"/>
            <w:vAlign w:val="center"/>
          </w:tcPr>
          <w:p w14:paraId="0EAC4CA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C46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jc w:val="center"/>
        </w:trPr>
        <w:tc>
          <w:tcPr>
            <w:tcW w:w="1307" w:type="dxa"/>
            <w:vMerge w:val="restart"/>
            <w:shd w:val="clear" w:color="auto" w:fill="auto"/>
            <w:vAlign w:val="center"/>
          </w:tcPr>
          <w:p w14:paraId="5DE8B0A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292BA8A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法定基础信息</w:t>
            </w:r>
          </w:p>
        </w:tc>
        <w:tc>
          <w:tcPr>
            <w:tcW w:w="1264" w:type="dxa"/>
            <w:vMerge w:val="restart"/>
            <w:shd w:val="clear" w:color="auto" w:fill="auto"/>
            <w:vAlign w:val="center"/>
          </w:tcPr>
          <w:p w14:paraId="1E02D4E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机构职能</w:t>
            </w:r>
          </w:p>
        </w:tc>
        <w:tc>
          <w:tcPr>
            <w:tcW w:w="1800" w:type="dxa"/>
            <w:vMerge w:val="restart"/>
            <w:shd w:val="clear" w:color="auto" w:fill="auto"/>
            <w:vAlign w:val="center"/>
          </w:tcPr>
          <w:p w14:paraId="5527981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机构设置</w:t>
            </w:r>
          </w:p>
        </w:tc>
        <w:tc>
          <w:tcPr>
            <w:tcW w:w="7500" w:type="dxa"/>
            <w:shd w:val="clear" w:color="auto" w:fill="auto"/>
            <w:vAlign w:val="center"/>
          </w:tcPr>
          <w:p w14:paraId="2C25956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是否统一格式公开</w:t>
            </w:r>
            <w:r>
              <w:rPr>
                <w:rFonts w:hint="eastAsia" w:ascii="仿宋_GB2312" w:hAnsi="等线" w:eastAsia="仿宋_GB2312" w:cs="宋体"/>
                <w:color w:val="000000"/>
                <w:kern w:val="0"/>
                <w:sz w:val="24"/>
                <w:szCs w:val="21"/>
                <w:lang w:val="en-US" w:eastAsia="zh-CN"/>
              </w:rPr>
              <w:t>管委会</w:t>
            </w:r>
            <w:r>
              <w:rPr>
                <w:rFonts w:hint="eastAsia" w:ascii="仿宋_GB2312" w:hAnsi="等线" w:eastAsia="仿宋_GB2312" w:cs="宋体"/>
                <w:color w:val="000000"/>
                <w:kern w:val="0"/>
                <w:sz w:val="24"/>
                <w:szCs w:val="21"/>
              </w:rPr>
              <w:t>机构设置、部门职能、办公地址、办公时间、联系方式等信息</w:t>
            </w:r>
          </w:p>
        </w:tc>
        <w:tc>
          <w:tcPr>
            <w:tcW w:w="1501" w:type="dxa"/>
            <w:vMerge w:val="restart"/>
            <w:shd w:val="clear" w:color="auto" w:fill="auto"/>
            <w:vAlign w:val="center"/>
          </w:tcPr>
          <w:p w14:paraId="3573401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党群工作部牵头，各职能部门、直属单位、各街道办事处配合</w:t>
            </w:r>
          </w:p>
        </w:tc>
      </w:tr>
      <w:tr w14:paraId="581A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07" w:type="dxa"/>
            <w:vMerge w:val="continue"/>
            <w:shd w:val="clear" w:color="auto" w:fill="auto"/>
            <w:vAlign w:val="center"/>
          </w:tcPr>
          <w:p w14:paraId="42D7903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8F3796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C37F55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743D18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35FA773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是否统一格式公开本级</w:t>
            </w:r>
            <w:r>
              <w:rPr>
                <w:rFonts w:hint="eastAsia" w:ascii="仿宋_GB2312" w:hAnsi="等线" w:eastAsia="仿宋_GB2312" w:cs="宋体"/>
                <w:color w:val="000000"/>
                <w:kern w:val="0"/>
                <w:sz w:val="24"/>
                <w:szCs w:val="21"/>
                <w:lang w:val="en-US" w:eastAsia="zh-CN"/>
              </w:rPr>
              <w:t>职能</w:t>
            </w:r>
            <w:r>
              <w:rPr>
                <w:rFonts w:hint="eastAsia" w:ascii="仿宋_GB2312" w:hAnsi="等线" w:eastAsia="仿宋_GB2312" w:cs="宋体"/>
                <w:color w:val="000000"/>
                <w:kern w:val="0"/>
                <w:sz w:val="24"/>
                <w:szCs w:val="21"/>
              </w:rPr>
              <w:t>部门负责人姓名、</w:t>
            </w:r>
            <w:r>
              <w:rPr>
                <w:rFonts w:hint="eastAsia" w:ascii="仿宋_GB2312" w:hAnsi="等线" w:eastAsia="仿宋_GB2312" w:cs="宋体"/>
                <w:color w:val="000000"/>
                <w:kern w:val="0"/>
                <w:sz w:val="24"/>
                <w:szCs w:val="21"/>
                <w:lang w:val="en-US" w:eastAsia="zh-CN"/>
              </w:rPr>
              <w:t>工作</w:t>
            </w:r>
            <w:r>
              <w:rPr>
                <w:rFonts w:hint="eastAsia" w:ascii="仿宋_GB2312" w:hAnsi="等线" w:eastAsia="仿宋_GB2312" w:cs="宋体"/>
                <w:color w:val="000000"/>
                <w:kern w:val="0"/>
                <w:sz w:val="24"/>
                <w:szCs w:val="21"/>
              </w:rPr>
              <w:t>机构职能等信息</w:t>
            </w:r>
          </w:p>
        </w:tc>
        <w:tc>
          <w:tcPr>
            <w:tcW w:w="1501" w:type="dxa"/>
            <w:vMerge w:val="continue"/>
            <w:shd w:val="clear" w:color="auto" w:fill="auto"/>
            <w:vAlign w:val="center"/>
          </w:tcPr>
          <w:p w14:paraId="4E6F7D7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58DD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6" w:hRule="atLeast"/>
          <w:jc w:val="center"/>
        </w:trPr>
        <w:tc>
          <w:tcPr>
            <w:tcW w:w="1307" w:type="dxa"/>
            <w:vMerge w:val="continue"/>
            <w:shd w:val="clear" w:color="auto" w:fill="auto"/>
            <w:vAlign w:val="center"/>
          </w:tcPr>
          <w:p w14:paraId="6C9555A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DCBEF3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786673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23ECF24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领导信息</w:t>
            </w:r>
          </w:p>
        </w:tc>
        <w:tc>
          <w:tcPr>
            <w:tcW w:w="7500" w:type="dxa"/>
            <w:shd w:val="clear" w:color="auto" w:fill="auto"/>
            <w:vAlign w:val="center"/>
          </w:tcPr>
          <w:p w14:paraId="0BCB5EFB">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负责人的姓名、现任职务职级、性别、民族、出生年月、学历学位、政治面貌、照片等</w:t>
            </w:r>
          </w:p>
        </w:tc>
        <w:tc>
          <w:tcPr>
            <w:tcW w:w="1501" w:type="dxa"/>
            <w:vMerge w:val="continue"/>
            <w:shd w:val="clear" w:color="auto" w:fill="auto"/>
            <w:vAlign w:val="center"/>
          </w:tcPr>
          <w:p w14:paraId="04CA211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3833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8" w:hRule="atLeast"/>
          <w:jc w:val="center"/>
        </w:trPr>
        <w:tc>
          <w:tcPr>
            <w:tcW w:w="1307" w:type="dxa"/>
            <w:vMerge w:val="continue"/>
            <w:shd w:val="clear" w:color="auto" w:fill="auto"/>
            <w:vAlign w:val="center"/>
          </w:tcPr>
          <w:p w14:paraId="4834F8F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B8FAC7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70D9825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统计信息</w:t>
            </w:r>
          </w:p>
        </w:tc>
        <w:tc>
          <w:tcPr>
            <w:tcW w:w="1800" w:type="dxa"/>
            <w:shd w:val="clear" w:color="auto" w:fill="auto"/>
            <w:vAlign w:val="center"/>
          </w:tcPr>
          <w:p w14:paraId="3EA3451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highlight w:val="none"/>
              </w:rPr>
            </w:pPr>
            <w:r>
              <w:rPr>
                <w:rFonts w:hint="eastAsia" w:ascii="仿宋_GB2312" w:hAnsi="等线" w:eastAsia="仿宋_GB2312" w:cs="宋体"/>
                <w:color w:val="000000"/>
                <w:kern w:val="0"/>
                <w:sz w:val="24"/>
                <w:szCs w:val="21"/>
                <w:highlight w:val="none"/>
              </w:rPr>
              <w:t>统计公报</w:t>
            </w:r>
          </w:p>
        </w:tc>
        <w:tc>
          <w:tcPr>
            <w:tcW w:w="7500" w:type="dxa"/>
            <w:shd w:val="clear" w:color="auto" w:fill="auto"/>
            <w:vAlign w:val="center"/>
          </w:tcPr>
          <w:p w14:paraId="299EC9CA">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highlight w:val="none"/>
              </w:rPr>
            </w:pPr>
            <w:r>
              <w:rPr>
                <w:rFonts w:hint="eastAsia" w:ascii="仿宋_GB2312" w:hAnsi="等线" w:eastAsia="仿宋_GB2312" w:cs="宋体"/>
                <w:color w:val="000000"/>
                <w:kern w:val="0"/>
                <w:sz w:val="24"/>
                <w:szCs w:val="21"/>
                <w:highlight w:val="none"/>
              </w:rPr>
              <w:t>是否发布本地区202</w:t>
            </w:r>
            <w:r>
              <w:rPr>
                <w:rFonts w:hint="eastAsia" w:ascii="仿宋_GB2312" w:hAnsi="等线" w:eastAsia="仿宋_GB2312" w:cs="宋体"/>
                <w:color w:val="000000"/>
                <w:kern w:val="0"/>
                <w:sz w:val="24"/>
                <w:szCs w:val="21"/>
                <w:highlight w:val="none"/>
                <w:lang w:val="en-US" w:eastAsia="zh-CN"/>
              </w:rPr>
              <w:t>3</w:t>
            </w:r>
            <w:r>
              <w:rPr>
                <w:rFonts w:hint="eastAsia" w:ascii="仿宋_GB2312" w:hAnsi="等线" w:eastAsia="仿宋_GB2312" w:cs="宋体"/>
                <w:color w:val="000000"/>
                <w:kern w:val="0"/>
                <w:sz w:val="24"/>
                <w:szCs w:val="21"/>
                <w:highlight w:val="none"/>
              </w:rPr>
              <w:t>年国民经济和社会发展统计公报</w:t>
            </w:r>
          </w:p>
        </w:tc>
        <w:tc>
          <w:tcPr>
            <w:tcW w:w="1501" w:type="dxa"/>
            <w:vMerge w:val="restart"/>
            <w:shd w:val="clear" w:color="auto" w:fill="auto"/>
            <w:vAlign w:val="center"/>
          </w:tcPr>
          <w:p w14:paraId="5C90229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经济发展部牵头</w:t>
            </w:r>
          </w:p>
        </w:tc>
      </w:tr>
      <w:tr w14:paraId="4F87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jc w:val="center"/>
        </w:trPr>
        <w:tc>
          <w:tcPr>
            <w:tcW w:w="1307" w:type="dxa"/>
            <w:vMerge w:val="continue"/>
            <w:shd w:val="clear" w:color="auto" w:fill="auto"/>
            <w:vAlign w:val="center"/>
          </w:tcPr>
          <w:p w14:paraId="5C814BD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ECC505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51015E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7D53543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统计数据</w:t>
            </w:r>
          </w:p>
        </w:tc>
        <w:tc>
          <w:tcPr>
            <w:tcW w:w="7500" w:type="dxa"/>
            <w:shd w:val="clear" w:color="auto" w:fill="auto"/>
            <w:vAlign w:val="center"/>
          </w:tcPr>
          <w:p w14:paraId="0430143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是否定期发布本地区经济社会发展统计数据及分析解读信息</w:t>
            </w:r>
          </w:p>
        </w:tc>
        <w:tc>
          <w:tcPr>
            <w:tcW w:w="1501" w:type="dxa"/>
            <w:vMerge w:val="continue"/>
            <w:shd w:val="clear" w:color="auto" w:fill="auto"/>
            <w:vAlign w:val="center"/>
          </w:tcPr>
          <w:p w14:paraId="42BF8BE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62A6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07" w:type="dxa"/>
            <w:vMerge w:val="continue"/>
            <w:shd w:val="clear" w:color="auto" w:fill="auto"/>
            <w:vAlign w:val="center"/>
          </w:tcPr>
          <w:p w14:paraId="75BC8B2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F7D965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2B21BA2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规划计划</w:t>
            </w:r>
          </w:p>
        </w:tc>
        <w:tc>
          <w:tcPr>
            <w:tcW w:w="1800" w:type="dxa"/>
            <w:shd w:val="clear" w:color="auto" w:fill="auto"/>
            <w:vAlign w:val="center"/>
          </w:tcPr>
          <w:p w14:paraId="653C1A1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“十四五”规划</w:t>
            </w:r>
          </w:p>
        </w:tc>
        <w:tc>
          <w:tcPr>
            <w:tcW w:w="7500" w:type="dxa"/>
            <w:shd w:val="clear" w:color="auto" w:fill="auto"/>
            <w:vAlign w:val="center"/>
          </w:tcPr>
          <w:p w14:paraId="272634F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是否集中公开本地区“十四五”规划和专项规划、空间规划、区域规划</w:t>
            </w:r>
          </w:p>
        </w:tc>
        <w:tc>
          <w:tcPr>
            <w:tcW w:w="1501" w:type="dxa"/>
            <w:vMerge w:val="restart"/>
            <w:shd w:val="clear" w:color="auto" w:fill="auto"/>
            <w:vAlign w:val="center"/>
          </w:tcPr>
          <w:p w14:paraId="26F68C6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宣传文化部、社会治理部、经济发展部、产业促进部、财政金融部、规划和自然资源部、建设管理部、社会事业部、综合执法部、数字城市部、区生态环境分局</w:t>
            </w:r>
          </w:p>
        </w:tc>
      </w:tr>
      <w:tr w14:paraId="5749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9" w:hRule="atLeast"/>
          <w:jc w:val="center"/>
        </w:trPr>
        <w:tc>
          <w:tcPr>
            <w:tcW w:w="1307" w:type="dxa"/>
            <w:vMerge w:val="continue"/>
            <w:shd w:val="clear" w:color="auto" w:fill="auto"/>
            <w:vAlign w:val="center"/>
          </w:tcPr>
          <w:p w14:paraId="1E637D9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3A5F21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575568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53813B8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历史规划</w:t>
            </w:r>
          </w:p>
          <w:p w14:paraId="5A18B5F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（计划）</w:t>
            </w:r>
          </w:p>
        </w:tc>
        <w:tc>
          <w:tcPr>
            <w:tcW w:w="7500" w:type="dxa"/>
            <w:shd w:val="clear" w:color="auto" w:fill="auto"/>
            <w:vAlign w:val="center"/>
          </w:tcPr>
          <w:p w14:paraId="2674D8B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是否做好本地区历史规划（计划）的归集整理和主动公开工作</w:t>
            </w:r>
          </w:p>
        </w:tc>
        <w:tc>
          <w:tcPr>
            <w:tcW w:w="1501" w:type="dxa"/>
            <w:vMerge w:val="continue"/>
            <w:shd w:val="clear" w:color="auto" w:fill="auto"/>
            <w:vAlign w:val="center"/>
          </w:tcPr>
          <w:p w14:paraId="2EEAA4E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1ADC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307" w:type="dxa"/>
            <w:vMerge w:val="restart"/>
            <w:shd w:val="clear" w:color="auto" w:fill="auto"/>
            <w:vAlign w:val="center"/>
          </w:tcPr>
          <w:p w14:paraId="5F34C1E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1E4307B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法定基础信息</w:t>
            </w:r>
          </w:p>
        </w:tc>
        <w:tc>
          <w:tcPr>
            <w:tcW w:w="1264" w:type="dxa"/>
            <w:vMerge w:val="restart"/>
            <w:shd w:val="clear" w:color="auto" w:fill="auto"/>
            <w:vAlign w:val="center"/>
          </w:tcPr>
          <w:p w14:paraId="78C8EB3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行政许可和其他对外管理服务信息</w:t>
            </w:r>
          </w:p>
        </w:tc>
        <w:tc>
          <w:tcPr>
            <w:tcW w:w="1800" w:type="dxa"/>
            <w:vMerge w:val="restart"/>
            <w:shd w:val="clear" w:color="auto" w:fill="auto"/>
            <w:vAlign w:val="center"/>
          </w:tcPr>
          <w:p w14:paraId="11F6658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行政许可</w:t>
            </w:r>
          </w:p>
        </w:tc>
        <w:tc>
          <w:tcPr>
            <w:tcW w:w="7500" w:type="dxa"/>
            <w:shd w:val="clear" w:color="auto" w:fill="auto"/>
            <w:vAlign w:val="center"/>
          </w:tcPr>
          <w:p w14:paraId="5A4DB77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是否编制完成并公布本级行政许可事项清单，将依法设定的行政许可事项全部纳入清单管理</w:t>
            </w:r>
          </w:p>
        </w:tc>
        <w:tc>
          <w:tcPr>
            <w:tcW w:w="1501" w:type="dxa"/>
            <w:vMerge w:val="restart"/>
            <w:shd w:val="clear" w:color="auto" w:fill="auto"/>
            <w:vAlign w:val="center"/>
          </w:tcPr>
          <w:p w14:paraId="6A8EA4B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59EAEEC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773B82C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00D7D7B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数字城市部牵头，各职能部门配合</w:t>
            </w:r>
          </w:p>
          <w:p w14:paraId="417B8D3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6BE3C4C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15C9D03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tc>
      </w:tr>
      <w:tr w14:paraId="0832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55D727E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78C74C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6CEC92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190EE1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5A21920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是否能够集中公开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部门行政许可的依据、条件、程序</w:t>
            </w:r>
          </w:p>
        </w:tc>
        <w:tc>
          <w:tcPr>
            <w:tcW w:w="1501" w:type="dxa"/>
            <w:vMerge w:val="continue"/>
            <w:shd w:val="clear" w:color="auto" w:fill="auto"/>
            <w:vAlign w:val="center"/>
          </w:tcPr>
          <w:p w14:paraId="3DE433A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89D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1B411AF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95A5C4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4025A0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4DFBB51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0DB90FA">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是否能够集中公开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部门行政许可事项的办理结果</w:t>
            </w:r>
          </w:p>
        </w:tc>
        <w:tc>
          <w:tcPr>
            <w:tcW w:w="1501" w:type="dxa"/>
            <w:vMerge w:val="continue"/>
            <w:shd w:val="clear" w:color="auto" w:fill="auto"/>
            <w:vAlign w:val="center"/>
          </w:tcPr>
          <w:p w14:paraId="09D8DB0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9AA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07" w:type="dxa"/>
            <w:vMerge w:val="continue"/>
            <w:shd w:val="clear" w:color="auto" w:fill="auto"/>
            <w:vAlign w:val="center"/>
          </w:tcPr>
          <w:p w14:paraId="6764089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09DD2C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61416A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046614D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其他对外管理服务</w:t>
            </w:r>
          </w:p>
        </w:tc>
        <w:tc>
          <w:tcPr>
            <w:tcW w:w="7500" w:type="dxa"/>
            <w:shd w:val="clear" w:color="auto" w:fill="auto"/>
            <w:vAlign w:val="center"/>
          </w:tcPr>
          <w:p w14:paraId="126108E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是否能够集中公开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部门其他对外管理服务信息的依据、条件、程序</w:t>
            </w:r>
          </w:p>
        </w:tc>
        <w:tc>
          <w:tcPr>
            <w:tcW w:w="1501" w:type="dxa"/>
            <w:vMerge w:val="continue"/>
            <w:shd w:val="clear" w:color="auto" w:fill="auto"/>
            <w:vAlign w:val="center"/>
          </w:tcPr>
          <w:p w14:paraId="149CA71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859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307" w:type="dxa"/>
            <w:vMerge w:val="continue"/>
            <w:shd w:val="clear" w:color="auto" w:fill="auto"/>
            <w:vAlign w:val="center"/>
          </w:tcPr>
          <w:p w14:paraId="3073771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AA1A76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1E1122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1006998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3860D36">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是否能够集中公开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部门其他对外管理服务事项的办理结果</w:t>
            </w:r>
          </w:p>
        </w:tc>
        <w:tc>
          <w:tcPr>
            <w:tcW w:w="1501" w:type="dxa"/>
            <w:vMerge w:val="continue"/>
            <w:shd w:val="clear" w:color="auto" w:fill="auto"/>
            <w:vAlign w:val="center"/>
          </w:tcPr>
          <w:p w14:paraId="64828FF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31B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8" w:hRule="atLeast"/>
          <w:jc w:val="center"/>
        </w:trPr>
        <w:tc>
          <w:tcPr>
            <w:tcW w:w="1307" w:type="dxa"/>
            <w:vMerge w:val="continue"/>
            <w:shd w:val="clear" w:color="auto" w:fill="auto"/>
            <w:vAlign w:val="center"/>
          </w:tcPr>
          <w:p w14:paraId="0EA0828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5FB516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4FE42F1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处罚强制信息</w:t>
            </w:r>
          </w:p>
        </w:tc>
        <w:tc>
          <w:tcPr>
            <w:tcW w:w="1800" w:type="dxa"/>
            <w:vMerge w:val="restart"/>
            <w:shd w:val="clear" w:color="auto" w:fill="auto"/>
            <w:vAlign w:val="center"/>
          </w:tcPr>
          <w:p w14:paraId="7ABE6ED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依据、条件和</w:t>
            </w:r>
          </w:p>
          <w:p w14:paraId="45CFDBA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程序</w:t>
            </w:r>
          </w:p>
        </w:tc>
        <w:tc>
          <w:tcPr>
            <w:tcW w:w="7500" w:type="dxa"/>
            <w:shd w:val="clear" w:color="auto" w:fill="auto"/>
            <w:vAlign w:val="center"/>
          </w:tcPr>
          <w:p w14:paraId="3149700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是否能够集中公开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部门行政强制的依据、条件、程序</w:t>
            </w:r>
          </w:p>
        </w:tc>
        <w:tc>
          <w:tcPr>
            <w:tcW w:w="1501" w:type="dxa"/>
            <w:vMerge w:val="restart"/>
            <w:shd w:val="clear" w:color="auto" w:fill="auto"/>
            <w:vAlign w:val="center"/>
          </w:tcPr>
          <w:p w14:paraId="7A69351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各职能部门</w:t>
            </w:r>
          </w:p>
        </w:tc>
      </w:tr>
      <w:tr w14:paraId="0C2B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6" w:hRule="atLeast"/>
          <w:jc w:val="center"/>
        </w:trPr>
        <w:tc>
          <w:tcPr>
            <w:tcW w:w="1307" w:type="dxa"/>
            <w:vMerge w:val="continue"/>
            <w:shd w:val="clear" w:color="auto" w:fill="auto"/>
            <w:vAlign w:val="center"/>
          </w:tcPr>
          <w:p w14:paraId="00EBFE6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98571F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C90060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BF473B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4526190B">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是否能够集中公开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部门行政处罚的依据、条件、程序</w:t>
            </w:r>
          </w:p>
        </w:tc>
        <w:tc>
          <w:tcPr>
            <w:tcW w:w="1501" w:type="dxa"/>
            <w:vMerge w:val="continue"/>
            <w:shd w:val="clear" w:color="auto" w:fill="auto"/>
            <w:vAlign w:val="center"/>
          </w:tcPr>
          <w:p w14:paraId="62CF76B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834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1307" w:type="dxa"/>
            <w:vMerge w:val="continue"/>
            <w:shd w:val="clear" w:color="auto" w:fill="auto"/>
            <w:vAlign w:val="center"/>
          </w:tcPr>
          <w:p w14:paraId="5E16EB6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D1687C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9649AC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32D9C91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结果</w:t>
            </w:r>
          </w:p>
        </w:tc>
        <w:tc>
          <w:tcPr>
            <w:tcW w:w="7500" w:type="dxa"/>
            <w:shd w:val="clear" w:color="auto" w:fill="auto"/>
            <w:vAlign w:val="center"/>
          </w:tcPr>
          <w:p w14:paraId="5EB98C7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部门认为具有一定社会影响的行政处罚决定</w:t>
            </w:r>
          </w:p>
        </w:tc>
        <w:tc>
          <w:tcPr>
            <w:tcW w:w="1501" w:type="dxa"/>
            <w:vMerge w:val="continue"/>
            <w:shd w:val="clear" w:color="auto" w:fill="auto"/>
            <w:vAlign w:val="center"/>
          </w:tcPr>
          <w:p w14:paraId="4ADFACB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753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6AAC417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54CE3D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79CD722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行政事业性收费</w:t>
            </w:r>
          </w:p>
        </w:tc>
        <w:tc>
          <w:tcPr>
            <w:tcW w:w="1800" w:type="dxa"/>
            <w:vMerge w:val="restart"/>
            <w:shd w:val="clear" w:color="auto" w:fill="auto"/>
            <w:vAlign w:val="center"/>
          </w:tcPr>
          <w:p w14:paraId="0B08927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目录发布</w:t>
            </w:r>
          </w:p>
        </w:tc>
        <w:tc>
          <w:tcPr>
            <w:tcW w:w="7500" w:type="dxa"/>
            <w:shd w:val="clear" w:color="auto" w:fill="auto"/>
            <w:vAlign w:val="center"/>
          </w:tcPr>
          <w:p w14:paraId="45C42B43">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是否发布本地区执行的全国性行政事业性收费目录清单并及时更新</w:t>
            </w:r>
          </w:p>
        </w:tc>
        <w:tc>
          <w:tcPr>
            <w:tcW w:w="1501" w:type="dxa"/>
            <w:vMerge w:val="restart"/>
            <w:shd w:val="clear" w:color="auto" w:fill="auto"/>
            <w:vAlign w:val="center"/>
          </w:tcPr>
          <w:p w14:paraId="7BC5C10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财政金融部、经济发展部</w:t>
            </w:r>
          </w:p>
        </w:tc>
      </w:tr>
      <w:tr w14:paraId="53A7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12D7BF9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8DB9F5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BB6FC1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1C20B9A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60E7255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是否发布本地区执行的山东省行政事业性收费目录清单并及时更新</w:t>
            </w:r>
          </w:p>
        </w:tc>
        <w:tc>
          <w:tcPr>
            <w:tcW w:w="1501" w:type="dxa"/>
            <w:vMerge w:val="continue"/>
            <w:shd w:val="clear" w:color="auto" w:fill="auto"/>
            <w:vAlign w:val="center"/>
          </w:tcPr>
          <w:p w14:paraId="0E5D83D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2D2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307" w:type="dxa"/>
            <w:vMerge w:val="continue"/>
            <w:shd w:val="clear" w:color="auto" w:fill="auto"/>
            <w:vAlign w:val="center"/>
          </w:tcPr>
          <w:p w14:paraId="50AA556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1428E3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54D194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3EFAD7C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依据和标准</w:t>
            </w:r>
          </w:p>
        </w:tc>
        <w:tc>
          <w:tcPr>
            <w:tcW w:w="7500" w:type="dxa"/>
            <w:shd w:val="clear" w:color="auto" w:fill="auto"/>
            <w:vAlign w:val="center"/>
          </w:tcPr>
          <w:p w14:paraId="1CFA19B3">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项目名称、资金管理方式、政策依据、执收部门、征收对象、征收标准等要素是否完整</w:t>
            </w:r>
          </w:p>
        </w:tc>
        <w:tc>
          <w:tcPr>
            <w:tcW w:w="1501" w:type="dxa"/>
            <w:vMerge w:val="continue"/>
            <w:shd w:val="clear" w:color="auto" w:fill="auto"/>
            <w:vAlign w:val="center"/>
          </w:tcPr>
          <w:p w14:paraId="5F6D99C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DA8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jc w:val="center"/>
        </w:trPr>
        <w:tc>
          <w:tcPr>
            <w:tcW w:w="1307" w:type="dxa"/>
            <w:vMerge w:val="continue"/>
            <w:shd w:val="clear" w:color="auto" w:fill="auto"/>
            <w:vAlign w:val="center"/>
          </w:tcPr>
          <w:p w14:paraId="7775987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00DFD1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FDD2DF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55A9DE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5853363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政策依据和征收标准是否准确、全面</w:t>
            </w:r>
          </w:p>
        </w:tc>
        <w:tc>
          <w:tcPr>
            <w:tcW w:w="1501" w:type="dxa"/>
            <w:vMerge w:val="continue"/>
            <w:shd w:val="clear" w:color="auto" w:fill="auto"/>
            <w:vAlign w:val="center"/>
          </w:tcPr>
          <w:p w14:paraId="52E8113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073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1" w:hRule="atLeast"/>
          <w:jc w:val="center"/>
        </w:trPr>
        <w:tc>
          <w:tcPr>
            <w:tcW w:w="1307" w:type="dxa"/>
            <w:vMerge w:val="restart"/>
            <w:shd w:val="clear" w:color="auto" w:fill="auto"/>
            <w:vAlign w:val="center"/>
          </w:tcPr>
          <w:p w14:paraId="1769C02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1EBE38D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法定基础信息</w:t>
            </w:r>
          </w:p>
        </w:tc>
        <w:tc>
          <w:tcPr>
            <w:tcW w:w="1264" w:type="dxa"/>
            <w:vMerge w:val="restart"/>
            <w:shd w:val="clear" w:color="auto" w:fill="auto"/>
            <w:vAlign w:val="center"/>
          </w:tcPr>
          <w:p w14:paraId="74DB555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政府集中采购</w:t>
            </w:r>
          </w:p>
        </w:tc>
        <w:tc>
          <w:tcPr>
            <w:tcW w:w="1800" w:type="dxa"/>
            <w:shd w:val="clear" w:color="auto" w:fill="auto"/>
            <w:vAlign w:val="center"/>
          </w:tcPr>
          <w:p w14:paraId="11B83E2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目录标准</w:t>
            </w:r>
          </w:p>
        </w:tc>
        <w:tc>
          <w:tcPr>
            <w:tcW w:w="7500" w:type="dxa"/>
            <w:shd w:val="clear" w:color="auto" w:fill="auto"/>
            <w:vAlign w:val="center"/>
          </w:tcPr>
          <w:p w14:paraId="097E1E6A">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是否及时公开集中采购项目的目录和标准</w:t>
            </w:r>
          </w:p>
        </w:tc>
        <w:tc>
          <w:tcPr>
            <w:tcW w:w="1501" w:type="dxa"/>
            <w:vMerge w:val="restart"/>
            <w:shd w:val="clear" w:color="auto" w:fill="auto"/>
            <w:vAlign w:val="center"/>
          </w:tcPr>
          <w:p w14:paraId="24CBAED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财政金融部</w:t>
            </w:r>
          </w:p>
        </w:tc>
      </w:tr>
      <w:tr w14:paraId="4335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07" w:type="dxa"/>
            <w:vMerge w:val="continue"/>
            <w:shd w:val="clear" w:color="auto" w:fill="auto"/>
            <w:vAlign w:val="center"/>
          </w:tcPr>
          <w:p w14:paraId="50A9D45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0DD76D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6DD8B1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0455DC5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实施情况</w:t>
            </w:r>
          </w:p>
        </w:tc>
        <w:tc>
          <w:tcPr>
            <w:tcW w:w="7500" w:type="dxa"/>
            <w:shd w:val="clear" w:color="auto" w:fill="auto"/>
            <w:vAlign w:val="center"/>
          </w:tcPr>
          <w:p w14:paraId="17CE3E60">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是否定期公开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集中采购实施情况</w:t>
            </w:r>
          </w:p>
        </w:tc>
        <w:tc>
          <w:tcPr>
            <w:tcW w:w="1501" w:type="dxa"/>
            <w:vMerge w:val="continue"/>
            <w:shd w:val="clear" w:color="auto" w:fill="auto"/>
            <w:vAlign w:val="center"/>
          </w:tcPr>
          <w:p w14:paraId="4F5CEB2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E41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9" w:hRule="atLeast"/>
          <w:jc w:val="center"/>
        </w:trPr>
        <w:tc>
          <w:tcPr>
            <w:tcW w:w="1307" w:type="dxa"/>
            <w:vMerge w:val="continue"/>
            <w:shd w:val="clear" w:color="auto" w:fill="auto"/>
            <w:vAlign w:val="center"/>
          </w:tcPr>
          <w:p w14:paraId="488ECB9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restart"/>
            <w:shd w:val="clear" w:color="auto" w:fill="auto"/>
            <w:vAlign w:val="center"/>
          </w:tcPr>
          <w:p w14:paraId="1EF2B21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lang w:val="en-US" w:eastAsia="zh-CN" w:bidi="ar-SA"/>
              </w:rPr>
            </w:pPr>
            <w:r>
              <w:rPr>
                <w:rFonts w:hint="eastAsia" w:ascii="仿宋_GB2312" w:hAnsi="等线" w:eastAsia="仿宋_GB2312" w:cs="宋体"/>
                <w:color w:val="000000"/>
                <w:kern w:val="0"/>
                <w:sz w:val="24"/>
                <w:szCs w:val="21"/>
              </w:rPr>
              <w:t>重点领域信息</w:t>
            </w:r>
          </w:p>
        </w:tc>
        <w:tc>
          <w:tcPr>
            <w:tcW w:w="1264" w:type="dxa"/>
            <w:vMerge w:val="restart"/>
            <w:shd w:val="clear" w:color="auto" w:fill="auto"/>
            <w:vAlign w:val="center"/>
          </w:tcPr>
          <w:p w14:paraId="6345854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财政信息</w:t>
            </w:r>
          </w:p>
        </w:tc>
        <w:tc>
          <w:tcPr>
            <w:tcW w:w="1800" w:type="dxa"/>
            <w:shd w:val="clear" w:color="auto" w:fill="auto"/>
            <w:vAlign w:val="center"/>
          </w:tcPr>
          <w:p w14:paraId="39E2999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专栏设置</w:t>
            </w:r>
          </w:p>
        </w:tc>
        <w:tc>
          <w:tcPr>
            <w:tcW w:w="7500" w:type="dxa"/>
            <w:shd w:val="clear" w:color="auto" w:fill="auto"/>
            <w:vAlign w:val="center"/>
          </w:tcPr>
          <w:p w14:paraId="21ABA71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是否设立财政预决算信息公开统一平台（或专栏），并对内容进行分级分类</w:t>
            </w:r>
          </w:p>
        </w:tc>
        <w:tc>
          <w:tcPr>
            <w:tcW w:w="1501" w:type="dxa"/>
            <w:shd w:val="clear" w:color="auto" w:fill="auto"/>
            <w:vAlign w:val="center"/>
          </w:tcPr>
          <w:p w14:paraId="7C534EF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办公室、数字城市部</w:t>
            </w:r>
          </w:p>
        </w:tc>
      </w:tr>
      <w:tr w14:paraId="5912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1307" w:type="dxa"/>
            <w:vMerge w:val="continue"/>
            <w:shd w:val="clear" w:color="auto" w:fill="auto"/>
            <w:vAlign w:val="center"/>
          </w:tcPr>
          <w:p w14:paraId="5D065B9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AC8759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E3C624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7F0A611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财政预决算</w:t>
            </w:r>
          </w:p>
        </w:tc>
        <w:tc>
          <w:tcPr>
            <w:tcW w:w="7500" w:type="dxa"/>
            <w:shd w:val="clear" w:color="auto" w:fill="auto"/>
            <w:vAlign w:val="center"/>
          </w:tcPr>
          <w:p w14:paraId="12711A66">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是否公开本级和部门预决算说明、表格、“三公”经费预决算情况以及重点部门的绩效文本、重点项目绩效目标和绩效评价结果</w:t>
            </w:r>
          </w:p>
        </w:tc>
        <w:tc>
          <w:tcPr>
            <w:tcW w:w="1501" w:type="dxa"/>
            <w:vMerge w:val="restart"/>
            <w:shd w:val="clear" w:color="auto" w:fill="auto"/>
            <w:vAlign w:val="center"/>
          </w:tcPr>
          <w:p w14:paraId="1F247B9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11"/>
                <w:kern w:val="0"/>
                <w:sz w:val="24"/>
                <w:szCs w:val="21"/>
                <w:lang w:val="en-US" w:eastAsia="zh-CN"/>
              </w:rPr>
              <w:t>财政金融部牵头；各职能部门、直属单位、各街道办事处配合</w:t>
            </w:r>
          </w:p>
        </w:tc>
      </w:tr>
      <w:tr w14:paraId="4AF5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5" w:hRule="atLeast"/>
          <w:jc w:val="center"/>
        </w:trPr>
        <w:tc>
          <w:tcPr>
            <w:tcW w:w="1307" w:type="dxa"/>
            <w:vMerge w:val="continue"/>
            <w:shd w:val="clear" w:color="auto" w:fill="auto"/>
            <w:vAlign w:val="center"/>
          </w:tcPr>
          <w:p w14:paraId="6A17AA3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1477B8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B52018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10991C1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72B38091">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是否公开本级</w:t>
            </w:r>
            <w:r>
              <w:rPr>
                <w:rFonts w:hint="eastAsia" w:ascii="仿宋_GB2312" w:hAnsi="等线" w:eastAsia="仿宋_GB2312" w:cs="宋体"/>
                <w:color w:val="000000"/>
                <w:kern w:val="0"/>
                <w:sz w:val="24"/>
                <w:szCs w:val="21"/>
                <w:lang w:val="en-US" w:eastAsia="zh-CN"/>
              </w:rPr>
              <w:t>和</w:t>
            </w:r>
            <w:r>
              <w:rPr>
                <w:rFonts w:hint="eastAsia" w:ascii="仿宋_GB2312" w:hAnsi="等线" w:eastAsia="仿宋_GB2312" w:cs="宋体"/>
                <w:color w:val="000000"/>
                <w:kern w:val="0"/>
                <w:sz w:val="24"/>
                <w:szCs w:val="21"/>
              </w:rPr>
              <w:t>部门所属单位的预决算说明、表格、“三公”经费预决算情况</w:t>
            </w:r>
          </w:p>
        </w:tc>
        <w:tc>
          <w:tcPr>
            <w:tcW w:w="1501" w:type="dxa"/>
            <w:vMerge w:val="continue"/>
            <w:shd w:val="clear" w:color="auto" w:fill="auto"/>
            <w:vAlign w:val="center"/>
          </w:tcPr>
          <w:p w14:paraId="19858D6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4DFD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07" w:type="dxa"/>
            <w:vMerge w:val="continue"/>
            <w:shd w:val="clear" w:color="auto" w:fill="auto"/>
            <w:vAlign w:val="center"/>
          </w:tcPr>
          <w:p w14:paraId="4566E92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DF6E56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FD8156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0E78261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财政收支</w:t>
            </w:r>
          </w:p>
        </w:tc>
        <w:tc>
          <w:tcPr>
            <w:tcW w:w="7500" w:type="dxa"/>
            <w:shd w:val="clear" w:color="auto" w:fill="auto"/>
            <w:vAlign w:val="center"/>
          </w:tcPr>
          <w:p w14:paraId="56D5389B">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是否按月公开财政收支及增减变化情况</w:t>
            </w:r>
          </w:p>
        </w:tc>
        <w:tc>
          <w:tcPr>
            <w:tcW w:w="1501" w:type="dxa"/>
            <w:vMerge w:val="restart"/>
            <w:shd w:val="clear" w:color="auto" w:fill="auto"/>
            <w:vAlign w:val="center"/>
          </w:tcPr>
          <w:p w14:paraId="7B417FF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财政金融部</w:t>
            </w:r>
          </w:p>
        </w:tc>
      </w:tr>
      <w:tr w14:paraId="4E1A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07" w:type="dxa"/>
            <w:vMerge w:val="continue"/>
            <w:shd w:val="clear" w:color="auto" w:fill="auto"/>
            <w:vAlign w:val="center"/>
          </w:tcPr>
          <w:p w14:paraId="36885A2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E02DFF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lang w:val="en-US" w:eastAsia="zh-CN" w:bidi="ar-SA"/>
              </w:rPr>
            </w:pPr>
          </w:p>
        </w:tc>
        <w:tc>
          <w:tcPr>
            <w:tcW w:w="1264" w:type="dxa"/>
            <w:vMerge w:val="continue"/>
            <w:shd w:val="clear" w:color="auto" w:fill="auto"/>
            <w:vAlign w:val="center"/>
          </w:tcPr>
          <w:p w14:paraId="50412DE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7803220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政府债务</w:t>
            </w:r>
          </w:p>
        </w:tc>
        <w:tc>
          <w:tcPr>
            <w:tcW w:w="7500" w:type="dxa"/>
            <w:shd w:val="clear" w:color="auto" w:fill="auto"/>
            <w:vAlign w:val="center"/>
          </w:tcPr>
          <w:p w14:paraId="41CA9D6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是否随同</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预决算公开地方政府债务限额、余额、使用安排及还本付息等信息</w:t>
            </w:r>
          </w:p>
        </w:tc>
        <w:tc>
          <w:tcPr>
            <w:tcW w:w="1501" w:type="dxa"/>
            <w:vMerge w:val="continue"/>
            <w:shd w:val="clear" w:color="auto" w:fill="auto"/>
            <w:vAlign w:val="center"/>
          </w:tcPr>
          <w:p w14:paraId="484BAA1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710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07" w:type="dxa"/>
            <w:vMerge w:val="continue"/>
            <w:shd w:val="clear" w:color="auto" w:fill="auto"/>
            <w:vAlign w:val="center"/>
          </w:tcPr>
          <w:p w14:paraId="603C49C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13592F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5A6B26A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行政执法公示</w:t>
            </w:r>
          </w:p>
        </w:tc>
        <w:tc>
          <w:tcPr>
            <w:tcW w:w="1800" w:type="dxa"/>
            <w:shd w:val="clear" w:color="auto" w:fill="auto"/>
            <w:vAlign w:val="center"/>
          </w:tcPr>
          <w:p w14:paraId="62CB50C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平台建设</w:t>
            </w:r>
          </w:p>
        </w:tc>
        <w:tc>
          <w:tcPr>
            <w:tcW w:w="7500" w:type="dxa"/>
            <w:shd w:val="clear" w:color="auto" w:fill="auto"/>
            <w:vAlign w:val="center"/>
          </w:tcPr>
          <w:p w14:paraId="433BD52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是否搭建或利用统一的执法信息公示平台或目录</w:t>
            </w:r>
          </w:p>
        </w:tc>
        <w:tc>
          <w:tcPr>
            <w:tcW w:w="1501" w:type="dxa"/>
            <w:shd w:val="clear" w:color="auto" w:fill="auto"/>
            <w:vAlign w:val="center"/>
          </w:tcPr>
          <w:p w14:paraId="0257E32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办公室、数字城市部</w:t>
            </w:r>
          </w:p>
        </w:tc>
      </w:tr>
      <w:tr w14:paraId="683B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5" w:hRule="atLeast"/>
          <w:jc w:val="center"/>
        </w:trPr>
        <w:tc>
          <w:tcPr>
            <w:tcW w:w="1307" w:type="dxa"/>
            <w:vMerge w:val="continue"/>
            <w:shd w:val="clear" w:color="auto" w:fill="auto"/>
            <w:vAlign w:val="center"/>
          </w:tcPr>
          <w:p w14:paraId="7F6625C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D247D0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31865C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72BF088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事前公开</w:t>
            </w:r>
          </w:p>
        </w:tc>
        <w:tc>
          <w:tcPr>
            <w:tcW w:w="7500" w:type="dxa"/>
            <w:shd w:val="clear" w:color="auto" w:fill="auto"/>
            <w:vAlign w:val="center"/>
          </w:tcPr>
          <w:p w14:paraId="534C840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是否公开并及时更新</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部门的执法机构、执法人员、执法职责、执法权限等信息</w:t>
            </w:r>
          </w:p>
        </w:tc>
        <w:tc>
          <w:tcPr>
            <w:tcW w:w="1501" w:type="dxa"/>
            <w:vMerge w:val="restart"/>
            <w:shd w:val="clear" w:color="auto" w:fill="auto"/>
            <w:vAlign w:val="center"/>
          </w:tcPr>
          <w:p w14:paraId="4789B50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各职能部门负责</w:t>
            </w:r>
          </w:p>
        </w:tc>
      </w:tr>
      <w:tr w14:paraId="69DE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64B42B9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92B5F1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D97A3E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0D9CDFA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5338F6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部门行政执法权力事项的名称、种类、依据、承办机构、办理程序和时限、救济渠道等信息</w:t>
            </w:r>
          </w:p>
        </w:tc>
        <w:tc>
          <w:tcPr>
            <w:tcW w:w="1501" w:type="dxa"/>
            <w:vMerge w:val="continue"/>
            <w:shd w:val="clear" w:color="auto" w:fill="auto"/>
            <w:vAlign w:val="center"/>
          </w:tcPr>
          <w:p w14:paraId="2C9C47F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D97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1" w:hRule="atLeast"/>
          <w:jc w:val="center"/>
        </w:trPr>
        <w:tc>
          <w:tcPr>
            <w:tcW w:w="1307" w:type="dxa"/>
            <w:vMerge w:val="restart"/>
            <w:shd w:val="clear" w:color="auto" w:fill="auto"/>
            <w:vAlign w:val="center"/>
          </w:tcPr>
          <w:p w14:paraId="56E373B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4DDA3BC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重点领域信息</w:t>
            </w:r>
          </w:p>
        </w:tc>
        <w:tc>
          <w:tcPr>
            <w:tcW w:w="1264" w:type="dxa"/>
            <w:vMerge w:val="restart"/>
            <w:shd w:val="clear" w:color="auto" w:fill="auto"/>
            <w:vAlign w:val="center"/>
          </w:tcPr>
          <w:p w14:paraId="7896DF9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行政执法公示</w:t>
            </w:r>
          </w:p>
        </w:tc>
        <w:tc>
          <w:tcPr>
            <w:tcW w:w="1800" w:type="dxa"/>
            <w:vMerge w:val="restart"/>
            <w:shd w:val="clear" w:color="auto" w:fill="auto"/>
            <w:vAlign w:val="center"/>
          </w:tcPr>
          <w:p w14:paraId="1C4592D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事前公开</w:t>
            </w:r>
          </w:p>
        </w:tc>
        <w:tc>
          <w:tcPr>
            <w:tcW w:w="7500" w:type="dxa"/>
            <w:shd w:val="clear" w:color="auto" w:fill="auto"/>
            <w:vAlign w:val="center"/>
          </w:tcPr>
          <w:p w14:paraId="454EDC3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部门行政执法权力事项的办理场所信息、执法岗位信息、联系方式、服务指南、执法流程图、需要提交的材料目录以及示范文本、办理进度查询、咨询服务、投诉举报等信息</w:t>
            </w:r>
          </w:p>
        </w:tc>
        <w:tc>
          <w:tcPr>
            <w:tcW w:w="1501" w:type="dxa"/>
            <w:vMerge w:val="restart"/>
            <w:shd w:val="clear" w:color="auto" w:fill="auto"/>
            <w:vAlign w:val="center"/>
          </w:tcPr>
          <w:p w14:paraId="7DF56B2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bidi="ar-SA"/>
              </w:rPr>
            </w:pPr>
            <w:r>
              <w:rPr>
                <w:rFonts w:hint="eastAsia" w:ascii="仿宋_GB2312" w:hAnsi="等线" w:eastAsia="仿宋_GB2312" w:cs="宋体"/>
                <w:color w:val="000000"/>
                <w:kern w:val="0"/>
                <w:sz w:val="24"/>
                <w:szCs w:val="21"/>
                <w:lang w:val="en-US" w:eastAsia="zh-CN"/>
              </w:rPr>
              <w:t>各职能部门负责</w:t>
            </w:r>
          </w:p>
        </w:tc>
      </w:tr>
      <w:tr w14:paraId="4849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07" w:type="dxa"/>
            <w:vMerge w:val="continue"/>
            <w:shd w:val="clear" w:color="auto" w:fill="auto"/>
            <w:vAlign w:val="center"/>
          </w:tcPr>
          <w:p w14:paraId="0961577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19C34D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C482DF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432E124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2321696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行政执法机关依法委托执法的，是否公开并及时更新受委托组织和执法人员的信息，委托执法的依据、事项、权限、期限、双方权利和义务、法律责任等信息</w:t>
            </w:r>
          </w:p>
        </w:tc>
        <w:tc>
          <w:tcPr>
            <w:tcW w:w="1501" w:type="dxa"/>
            <w:vMerge w:val="continue"/>
            <w:shd w:val="clear" w:color="auto" w:fill="auto"/>
            <w:vAlign w:val="center"/>
          </w:tcPr>
          <w:p w14:paraId="072400D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8D4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1307" w:type="dxa"/>
            <w:vMerge w:val="continue"/>
            <w:shd w:val="clear" w:color="auto" w:fill="auto"/>
            <w:vAlign w:val="center"/>
          </w:tcPr>
          <w:p w14:paraId="49E7F40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C6DA24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05784A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315035E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事后公开</w:t>
            </w:r>
          </w:p>
        </w:tc>
        <w:tc>
          <w:tcPr>
            <w:tcW w:w="7500" w:type="dxa"/>
            <w:shd w:val="clear" w:color="auto" w:fill="auto"/>
            <w:vAlign w:val="center"/>
          </w:tcPr>
          <w:p w14:paraId="2D66B8A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是否按时向社会公示行政执法决定书文号、行政执法相对人名称、行政执法事项名称、主要事实、依据、作出行政执法决定的行政执法机关名称和日期等执法结果信息</w:t>
            </w:r>
          </w:p>
        </w:tc>
        <w:tc>
          <w:tcPr>
            <w:tcW w:w="1501" w:type="dxa"/>
            <w:vMerge w:val="continue"/>
            <w:shd w:val="clear" w:color="auto" w:fill="auto"/>
            <w:vAlign w:val="center"/>
          </w:tcPr>
          <w:p w14:paraId="541C46B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608B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 w:hRule="atLeast"/>
          <w:jc w:val="center"/>
        </w:trPr>
        <w:tc>
          <w:tcPr>
            <w:tcW w:w="1307" w:type="dxa"/>
            <w:vMerge w:val="continue"/>
            <w:shd w:val="clear" w:color="auto" w:fill="auto"/>
            <w:vAlign w:val="center"/>
          </w:tcPr>
          <w:p w14:paraId="4F5C9EA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543BD3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7EB338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E6D711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6203DF3B">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是否于每年1月31日前公开本地区所有行政执法主体上年度行政执法总体情况有关数据</w:t>
            </w:r>
          </w:p>
        </w:tc>
        <w:tc>
          <w:tcPr>
            <w:tcW w:w="1501" w:type="dxa"/>
            <w:vMerge w:val="continue"/>
            <w:shd w:val="clear" w:color="auto" w:fill="auto"/>
            <w:vAlign w:val="center"/>
          </w:tcPr>
          <w:p w14:paraId="2BDCD79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849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07" w:type="dxa"/>
            <w:vMerge w:val="continue"/>
            <w:shd w:val="clear" w:color="auto" w:fill="auto"/>
            <w:vAlign w:val="center"/>
          </w:tcPr>
          <w:p w14:paraId="04962F3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375939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10439F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22F5A55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反不正当竞争</w:t>
            </w:r>
          </w:p>
        </w:tc>
        <w:tc>
          <w:tcPr>
            <w:tcW w:w="7500" w:type="dxa"/>
            <w:shd w:val="clear" w:color="auto" w:fill="auto"/>
            <w:vAlign w:val="center"/>
          </w:tcPr>
          <w:p w14:paraId="7C2A571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是否及时公开涉及本地区的反不正当竞争执法信息</w:t>
            </w:r>
          </w:p>
        </w:tc>
        <w:tc>
          <w:tcPr>
            <w:tcW w:w="1501" w:type="dxa"/>
            <w:vMerge w:val="continue"/>
            <w:shd w:val="clear" w:color="auto" w:fill="auto"/>
            <w:vAlign w:val="center"/>
          </w:tcPr>
          <w:p w14:paraId="6EF719B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DC0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307" w:type="dxa"/>
            <w:vMerge w:val="continue"/>
            <w:shd w:val="clear" w:color="auto" w:fill="auto"/>
            <w:vAlign w:val="center"/>
          </w:tcPr>
          <w:p w14:paraId="3AF59C5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FD73C3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48F9CF4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扩大有效投资</w:t>
            </w:r>
          </w:p>
        </w:tc>
        <w:tc>
          <w:tcPr>
            <w:tcW w:w="1800" w:type="dxa"/>
            <w:shd w:val="clear" w:color="auto" w:fill="auto"/>
            <w:vAlign w:val="center"/>
          </w:tcPr>
          <w:p w14:paraId="08CD6A7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政策规划</w:t>
            </w:r>
          </w:p>
        </w:tc>
        <w:tc>
          <w:tcPr>
            <w:tcW w:w="7500" w:type="dxa"/>
            <w:shd w:val="clear" w:color="auto" w:fill="auto"/>
            <w:vAlign w:val="center"/>
          </w:tcPr>
          <w:p w14:paraId="54592EE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是否集中公开本地区制定或执行的扩大有效投资相关规划、政策文件</w:t>
            </w:r>
          </w:p>
        </w:tc>
        <w:tc>
          <w:tcPr>
            <w:tcW w:w="1501" w:type="dxa"/>
            <w:vMerge w:val="restart"/>
            <w:shd w:val="clear" w:color="auto" w:fill="auto"/>
            <w:vAlign w:val="center"/>
          </w:tcPr>
          <w:p w14:paraId="5A575FC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60161D4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经济发展部</w:t>
            </w:r>
          </w:p>
        </w:tc>
      </w:tr>
      <w:tr w14:paraId="2A65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7" w:hRule="atLeast"/>
          <w:jc w:val="center"/>
        </w:trPr>
        <w:tc>
          <w:tcPr>
            <w:tcW w:w="1307" w:type="dxa"/>
            <w:vMerge w:val="continue"/>
            <w:shd w:val="clear" w:color="auto" w:fill="auto"/>
            <w:vAlign w:val="center"/>
          </w:tcPr>
          <w:p w14:paraId="5D3B2FC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D497B8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CAE4A9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5C81AC5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重大建设项目</w:t>
            </w:r>
          </w:p>
        </w:tc>
        <w:tc>
          <w:tcPr>
            <w:tcW w:w="7500" w:type="dxa"/>
            <w:shd w:val="clear" w:color="auto" w:fill="auto"/>
            <w:vAlign w:val="center"/>
          </w:tcPr>
          <w:p w14:paraId="6361FAB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是否根据本区域特点和工作侧重点，明确重大建设项目范围或发布重大建设项目清单</w:t>
            </w:r>
          </w:p>
        </w:tc>
        <w:tc>
          <w:tcPr>
            <w:tcW w:w="1501" w:type="dxa"/>
            <w:vMerge w:val="continue"/>
            <w:shd w:val="clear" w:color="auto" w:fill="auto"/>
            <w:vAlign w:val="center"/>
          </w:tcPr>
          <w:p w14:paraId="25FDC06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779A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07" w:type="dxa"/>
            <w:vMerge w:val="continue"/>
            <w:shd w:val="clear" w:color="auto" w:fill="auto"/>
            <w:vAlign w:val="center"/>
          </w:tcPr>
          <w:p w14:paraId="65261A4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632948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5551C8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0E8E98A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3CECEB2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是否集中发布重大建设项目相关的申报要求、申报材料清单、批准流程、办理时限、受理机构联系方式、监督举报方式等服务信息</w:t>
            </w:r>
          </w:p>
        </w:tc>
        <w:tc>
          <w:tcPr>
            <w:tcW w:w="1501" w:type="dxa"/>
            <w:vMerge w:val="continue"/>
            <w:shd w:val="clear" w:color="auto" w:fill="auto"/>
            <w:vAlign w:val="center"/>
          </w:tcPr>
          <w:p w14:paraId="69455A5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58D3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4" w:hRule="atLeast"/>
          <w:jc w:val="center"/>
        </w:trPr>
        <w:tc>
          <w:tcPr>
            <w:tcW w:w="1307" w:type="dxa"/>
            <w:vMerge w:val="continue"/>
            <w:shd w:val="clear" w:color="auto" w:fill="auto"/>
            <w:vAlign w:val="center"/>
          </w:tcPr>
          <w:p w14:paraId="0A10399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A2C5EF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FA5B60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1D6E357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535802F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是否按照要求公开重大建设项目的批准结果信息、招标投标信息、征收土地信息、重大设计变更信息、施工有关信息、质量安全监督信息、竣工有关信息等</w:t>
            </w:r>
          </w:p>
        </w:tc>
        <w:tc>
          <w:tcPr>
            <w:tcW w:w="1501" w:type="dxa"/>
            <w:shd w:val="clear" w:color="auto" w:fill="auto"/>
            <w:vAlign w:val="center"/>
          </w:tcPr>
          <w:p w14:paraId="327E69C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经济发展部、建设管理部牵头，有关部门配合</w:t>
            </w:r>
          </w:p>
        </w:tc>
      </w:tr>
      <w:tr w14:paraId="6C06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1" w:hRule="atLeast"/>
          <w:jc w:val="center"/>
        </w:trPr>
        <w:tc>
          <w:tcPr>
            <w:tcW w:w="1307" w:type="dxa"/>
            <w:vMerge w:val="restart"/>
            <w:shd w:val="clear" w:color="auto" w:fill="auto"/>
            <w:vAlign w:val="center"/>
          </w:tcPr>
          <w:p w14:paraId="66D670E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334D6B3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重点领域信息</w:t>
            </w:r>
          </w:p>
        </w:tc>
        <w:tc>
          <w:tcPr>
            <w:tcW w:w="1264" w:type="dxa"/>
            <w:vMerge w:val="restart"/>
            <w:shd w:val="clear" w:color="auto" w:fill="auto"/>
            <w:vAlign w:val="center"/>
          </w:tcPr>
          <w:p w14:paraId="02984B5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优化营商环境</w:t>
            </w:r>
          </w:p>
        </w:tc>
        <w:tc>
          <w:tcPr>
            <w:tcW w:w="1800" w:type="dxa"/>
            <w:vMerge w:val="restart"/>
            <w:shd w:val="clear" w:color="auto" w:fill="auto"/>
            <w:vAlign w:val="center"/>
          </w:tcPr>
          <w:p w14:paraId="30B3DF4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减税降费</w:t>
            </w:r>
          </w:p>
        </w:tc>
        <w:tc>
          <w:tcPr>
            <w:tcW w:w="7500" w:type="dxa"/>
            <w:shd w:val="clear" w:color="auto" w:fill="auto"/>
            <w:vAlign w:val="center"/>
          </w:tcPr>
          <w:p w14:paraId="0FE136B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是否集中整理和发布已出台各项减税降费政策，以及促进创业创新、中小微企业及特殊困难行业的纾难解困、保障和改善民生等税费优惠政策，特别是大规模增值税留抵退税政策</w:t>
            </w:r>
          </w:p>
        </w:tc>
        <w:tc>
          <w:tcPr>
            <w:tcW w:w="1501" w:type="dxa"/>
            <w:vMerge w:val="restart"/>
            <w:shd w:val="clear" w:color="auto" w:fill="auto"/>
            <w:vAlign w:val="center"/>
          </w:tcPr>
          <w:p w14:paraId="2368D17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财政金融部、区税务局</w:t>
            </w:r>
          </w:p>
        </w:tc>
      </w:tr>
      <w:tr w14:paraId="2207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5E4DAD2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72A1E5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8F9252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20D9B2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3CA369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是否及时公开减税降费政策落实情况和政策成效</w:t>
            </w:r>
          </w:p>
        </w:tc>
        <w:tc>
          <w:tcPr>
            <w:tcW w:w="1501" w:type="dxa"/>
            <w:vMerge w:val="continue"/>
            <w:shd w:val="clear" w:color="auto" w:fill="auto"/>
            <w:vAlign w:val="center"/>
          </w:tcPr>
          <w:p w14:paraId="6C1E96A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488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78ADA6F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2B6443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01739E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4388828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收费目录清单</w:t>
            </w:r>
          </w:p>
        </w:tc>
        <w:tc>
          <w:tcPr>
            <w:tcW w:w="7500" w:type="dxa"/>
            <w:shd w:val="clear" w:color="auto" w:fill="auto"/>
            <w:vAlign w:val="center"/>
          </w:tcPr>
          <w:p w14:paraId="707FAC2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是否及时公开本地区执行的政府性基金、涉企行政事业性收费、涉企保证金以及实行政府定价的经营服务性收费等目录清单</w:t>
            </w:r>
          </w:p>
        </w:tc>
        <w:tc>
          <w:tcPr>
            <w:tcW w:w="1501" w:type="dxa"/>
            <w:shd w:val="clear" w:color="auto" w:fill="auto"/>
            <w:vAlign w:val="center"/>
          </w:tcPr>
          <w:p w14:paraId="39044E1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财政金融部、经济发展部</w:t>
            </w:r>
          </w:p>
        </w:tc>
      </w:tr>
      <w:tr w14:paraId="7503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7FDFDD3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EABA08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EF83F9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46982AD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惠企政策送达</w:t>
            </w:r>
          </w:p>
        </w:tc>
        <w:tc>
          <w:tcPr>
            <w:tcW w:w="7500" w:type="dxa"/>
            <w:shd w:val="clear" w:color="auto" w:fill="auto"/>
            <w:vAlign w:val="center"/>
          </w:tcPr>
          <w:p w14:paraId="6E9D1AAB">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是否在门户网站、政务服务平台等醒目位置设置惠企政策专区</w:t>
            </w:r>
          </w:p>
        </w:tc>
        <w:tc>
          <w:tcPr>
            <w:tcW w:w="1501" w:type="dxa"/>
            <w:shd w:val="clear" w:color="auto" w:fill="auto"/>
            <w:vAlign w:val="center"/>
          </w:tcPr>
          <w:p w14:paraId="467A366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数字城市部</w:t>
            </w:r>
          </w:p>
        </w:tc>
      </w:tr>
      <w:tr w14:paraId="2FD0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58330E5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BD3938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42DB08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97A658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2D9668B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是否汇集本地区本领域市场主体适用的惠企政策，并多维分类，以及结合企业类型、办事需求等主动推送情况</w:t>
            </w:r>
          </w:p>
        </w:tc>
        <w:tc>
          <w:tcPr>
            <w:tcW w:w="1501" w:type="dxa"/>
            <w:shd w:val="clear" w:color="auto" w:fill="auto"/>
            <w:vAlign w:val="center"/>
          </w:tcPr>
          <w:p w14:paraId="247F75C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11"/>
                <w:kern w:val="0"/>
                <w:sz w:val="24"/>
                <w:szCs w:val="21"/>
                <w:lang w:val="en-US" w:eastAsia="zh-CN"/>
              </w:rPr>
              <w:t>数字城市部、经济发展部、产业促进部牵头，各职能部门配合</w:t>
            </w:r>
          </w:p>
        </w:tc>
      </w:tr>
      <w:tr w14:paraId="7293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377FF5F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26BA7D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3BEB6B7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义务教育</w:t>
            </w:r>
          </w:p>
        </w:tc>
        <w:tc>
          <w:tcPr>
            <w:tcW w:w="1800" w:type="dxa"/>
            <w:vMerge w:val="restart"/>
            <w:shd w:val="clear" w:color="auto" w:fill="auto"/>
            <w:vAlign w:val="center"/>
          </w:tcPr>
          <w:p w14:paraId="4931D5D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教育概况</w:t>
            </w:r>
          </w:p>
        </w:tc>
        <w:tc>
          <w:tcPr>
            <w:tcW w:w="7500" w:type="dxa"/>
            <w:shd w:val="clear" w:color="auto" w:fill="auto"/>
            <w:vAlign w:val="center"/>
          </w:tcPr>
          <w:p w14:paraId="498DFF33">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是否定期公开本地区教育事业发展主要情况</w:t>
            </w:r>
          </w:p>
        </w:tc>
        <w:tc>
          <w:tcPr>
            <w:tcW w:w="1501" w:type="dxa"/>
            <w:vMerge w:val="restart"/>
            <w:shd w:val="clear" w:color="auto" w:fill="auto"/>
            <w:vAlign w:val="center"/>
          </w:tcPr>
          <w:p w14:paraId="1E820EB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社会事业部</w:t>
            </w:r>
          </w:p>
        </w:tc>
      </w:tr>
      <w:tr w14:paraId="7C27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307" w:type="dxa"/>
            <w:vMerge w:val="continue"/>
            <w:shd w:val="clear" w:color="auto" w:fill="auto"/>
            <w:vAlign w:val="center"/>
          </w:tcPr>
          <w:p w14:paraId="6289633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E5DA32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68483B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17DDCAA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2D94E59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是否定期发布本地区教育统计数据，包括学校数据、在校生数据、教师数据、办学条件数据、县级汇总数据等</w:t>
            </w:r>
          </w:p>
        </w:tc>
        <w:tc>
          <w:tcPr>
            <w:tcW w:w="1501" w:type="dxa"/>
            <w:vMerge w:val="continue"/>
            <w:shd w:val="clear" w:color="auto" w:fill="auto"/>
            <w:vAlign w:val="center"/>
          </w:tcPr>
          <w:p w14:paraId="51FD304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6098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07" w:type="dxa"/>
            <w:vMerge w:val="continue"/>
            <w:shd w:val="clear" w:color="auto" w:fill="auto"/>
            <w:vAlign w:val="center"/>
          </w:tcPr>
          <w:p w14:paraId="2AB5739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16A400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C13AF5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0F1ACE8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C7CA14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是否及时更新并公开本地区义务教育学校名录，包括学校名称、学校地址、办学层次、办学类型、办公电话等</w:t>
            </w:r>
          </w:p>
        </w:tc>
        <w:tc>
          <w:tcPr>
            <w:tcW w:w="1501" w:type="dxa"/>
            <w:vMerge w:val="continue"/>
            <w:shd w:val="clear" w:color="auto" w:fill="auto"/>
            <w:vAlign w:val="center"/>
          </w:tcPr>
          <w:p w14:paraId="3268959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083C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8" w:hRule="atLeast"/>
          <w:jc w:val="center"/>
        </w:trPr>
        <w:tc>
          <w:tcPr>
            <w:tcW w:w="1307" w:type="dxa"/>
            <w:vMerge w:val="restart"/>
            <w:shd w:val="clear" w:color="auto" w:fill="auto"/>
            <w:vAlign w:val="center"/>
          </w:tcPr>
          <w:p w14:paraId="58221CD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532F217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重点领域信息</w:t>
            </w:r>
          </w:p>
        </w:tc>
        <w:tc>
          <w:tcPr>
            <w:tcW w:w="1264" w:type="dxa"/>
            <w:vMerge w:val="restart"/>
            <w:shd w:val="clear" w:color="auto" w:fill="auto"/>
            <w:vAlign w:val="center"/>
          </w:tcPr>
          <w:p w14:paraId="1A818CB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义务教育</w:t>
            </w:r>
          </w:p>
        </w:tc>
        <w:tc>
          <w:tcPr>
            <w:tcW w:w="1800" w:type="dxa"/>
            <w:vMerge w:val="restart"/>
            <w:shd w:val="clear" w:color="auto" w:fill="auto"/>
            <w:vAlign w:val="center"/>
          </w:tcPr>
          <w:p w14:paraId="23516C2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招生管理</w:t>
            </w:r>
          </w:p>
        </w:tc>
        <w:tc>
          <w:tcPr>
            <w:tcW w:w="7500" w:type="dxa"/>
            <w:shd w:val="clear" w:color="auto" w:fill="auto"/>
            <w:vAlign w:val="center"/>
          </w:tcPr>
          <w:p w14:paraId="7BD64F3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是否及时公开本地区202</w:t>
            </w:r>
            <w:r>
              <w:rPr>
                <w:rFonts w:hint="eastAsia" w:ascii="仿宋_GB2312" w:hAnsi="等线" w:eastAsia="仿宋_GB2312" w:cs="宋体"/>
                <w:color w:val="000000"/>
                <w:kern w:val="0"/>
                <w:sz w:val="24"/>
                <w:szCs w:val="21"/>
                <w:lang w:val="en-US" w:eastAsia="zh-CN"/>
              </w:rPr>
              <w:t>4</w:t>
            </w:r>
            <w:r>
              <w:rPr>
                <w:rFonts w:hint="eastAsia" w:ascii="仿宋_GB2312" w:hAnsi="等线" w:eastAsia="仿宋_GB2312" w:cs="宋体"/>
                <w:color w:val="000000"/>
                <w:kern w:val="0"/>
                <w:sz w:val="24"/>
                <w:szCs w:val="21"/>
              </w:rPr>
              <w:t>年招生政策、招生计划、招生范围、咨询方式等信息</w:t>
            </w:r>
          </w:p>
        </w:tc>
        <w:tc>
          <w:tcPr>
            <w:tcW w:w="1501" w:type="dxa"/>
            <w:vMerge w:val="restart"/>
            <w:shd w:val="clear" w:color="auto" w:fill="auto"/>
            <w:vAlign w:val="center"/>
          </w:tcPr>
          <w:p w14:paraId="5A56EAA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bidi="ar-SA"/>
              </w:rPr>
            </w:pPr>
            <w:r>
              <w:rPr>
                <w:rFonts w:hint="eastAsia" w:ascii="仿宋_GB2312" w:hAnsi="等线" w:eastAsia="仿宋_GB2312" w:cs="宋体"/>
                <w:color w:val="000000"/>
                <w:kern w:val="0"/>
                <w:sz w:val="24"/>
                <w:szCs w:val="21"/>
                <w:lang w:val="en-US" w:eastAsia="zh-CN"/>
              </w:rPr>
              <w:t>社会事业部</w:t>
            </w:r>
          </w:p>
        </w:tc>
      </w:tr>
      <w:tr w14:paraId="3117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6AEEE1E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A628FF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B61E5D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6FCB47C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17ACDB3">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是否在招生工作结束后及时公开招生结果</w:t>
            </w:r>
          </w:p>
        </w:tc>
        <w:tc>
          <w:tcPr>
            <w:tcW w:w="1501" w:type="dxa"/>
            <w:vMerge w:val="continue"/>
            <w:shd w:val="clear" w:color="auto" w:fill="auto"/>
            <w:vAlign w:val="center"/>
          </w:tcPr>
          <w:p w14:paraId="4F9D80C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bidi="ar-SA"/>
              </w:rPr>
            </w:pPr>
          </w:p>
        </w:tc>
      </w:tr>
      <w:tr w14:paraId="38C6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279E9F0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D4701A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B8748B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2952EC7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学生管理</w:t>
            </w:r>
          </w:p>
        </w:tc>
        <w:tc>
          <w:tcPr>
            <w:tcW w:w="7500" w:type="dxa"/>
            <w:shd w:val="clear" w:color="auto" w:fill="auto"/>
            <w:vAlign w:val="center"/>
          </w:tcPr>
          <w:p w14:paraId="384B055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是否及时公开学籍管理、义务教育学生资助政策、学生优待政策等信息</w:t>
            </w:r>
          </w:p>
        </w:tc>
        <w:tc>
          <w:tcPr>
            <w:tcW w:w="1501" w:type="dxa"/>
            <w:vMerge w:val="restart"/>
            <w:shd w:val="clear" w:color="auto" w:fill="auto"/>
            <w:vAlign w:val="center"/>
          </w:tcPr>
          <w:p w14:paraId="190D396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社会事业部</w:t>
            </w:r>
          </w:p>
        </w:tc>
      </w:tr>
      <w:tr w14:paraId="12EF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8" w:hRule="atLeast"/>
          <w:jc w:val="center"/>
        </w:trPr>
        <w:tc>
          <w:tcPr>
            <w:tcW w:w="1307" w:type="dxa"/>
            <w:vMerge w:val="continue"/>
            <w:shd w:val="clear" w:color="auto" w:fill="auto"/>
            <w:vAlign w:val="center"/>
          </w:tcPr>
          <w:p w14:paraId="23EE7C4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E96567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5AD291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1288E2C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7FD973E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是否及时公开本地区统一城乡义务教育“两免一补”政策等义务教育学生资助政策</w:t>
            </w:r>
          </w:p>
        </w:tc>
        <w:tc>
          <w:tcPr>
            <w:tcW w:w="1501" w:type="dxa"/>
            <w:vMerge w:val="continue"/>
            <w:shd w:val="clear" w:color="auto" w:fill="auto"/>
            <w:vAlign w:val="center"/>
          </w:tcPr>
          <w:p w14:paraId="13D1DBC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1AC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9" w:hRule="atLeast"/>
          <w:jc w:val="center"/>
        </w:trPr>
        <w:tc>
          <w:tcPr>
            <w:tcW w:w="1307" w:type="dxa"/>
            <w:vMerge w:val="continue"/>
            <w:shd w:val="clear" w:color="auto" w:fill="auto"/>
            <w:vAlign w:val="center"/>
          </w:tcPr>
          <w:p w14:paraId="2658F69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625124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F10A6A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5353A44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6EC423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是否及时公开学生评优奖励信息，包括省市县“三好学生”“优秀学生干部”评选标准、评比方法、表彰名单等</w:t>
            </w:r>
          </w:p>
        </w:tc>
        <w:tc>
          <w:tcPr>
            <w:tcW w:w="1501" w:type="dxa"/>
            <w:vMerge w:val="continue"/>
            <w:shd w:val="clear" w:color="auto" w:fill="auto"/>
            <w:vAlign w:val="center"/>
          </w:tcPr>
          <w:p w14:paraId="057F7DA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915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07" w:type="dxa"/>
            <w:vMerge w:val="continue"/>
            <w:shd w:val="clear" w:color="auto" w:fill="auto"/>
            <w:vAlign w:val="center"/>
          </w:tcPr>
          <w:p w14:paraId="2CC82C1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909569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468ED26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食品药品监管</w:t>
            </w:r>
          </w:p>
        </w:tc>
        <w:tc>
          <w:tcPr>
            <w:tcW w:w="1800" w:type="dxa"/>
            <w:shd w:val="clear" w:color="auto" w:fill="auto"/>
            <w:vAlign w:val="center"/>
          </w:tcPr>
          <w:p w14:paraId="27A4667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生产经营监督检查</w:t>
            </w:r>
          </w:p>
        </w:tc>
        <w:tc>
          <w:tcPr>
            <w:tcW w:w="7500" w:type="dxa"/>
            <w:shd w:val="clear" w:color="auto" w:fill="auto"/>
            <w:vAlign w:val="center"/>
          </w:tcPr>
          <w:p w14:paraId="67CF47C3">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是否能够公开本地区食品生产经营监督检查情况，包括工作计划、检查标准、检查结果等信息</w:t>
            </w:r>
          </w:p>
        </w:tc>
        <w:tc>
          <w:tcPr>
            <w:tcW w:w="1501" w:type="dxa"/>
            <w:vMerge w:val="restart"/>
            <w:shd w:val="clear" w:color="auto" w:fill="auto"/>
            <w:vAlign w:val="center"/>
          </w:tcPr>
          <w:p w14:paraId="123D2881">
            <w:pPr>
              <w:keepNext w:val="0"/>
              <w:keepLines w:val="0"/>
              <w:pageBreakBefore w:val="0"/>
              <w:widowControl/>
              <w:kinsoku w:val="0"/>
              <w:wordWrap/>
              <w:overflowPunct/>
              <w:topLinePunct w:val="0"/>
              <w:autoSpaceDE w:val="0"/>
              <w:autoSpaceDN w:val="0"/>
              <w:bidi w:val="0"/>
              <w:adjustRightInd w:val="0"/>
              <w:snapToGrid w:val="0"/>
              <w:spacing w:line="240" w:lineRule="atLeast"/>
              <w:jc w:val="both"/>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综合执法部</w:t>
            </w:r>
          </w:p>
        </w:tc>
      </w:tr>
      <w:tr w14:paraId="5158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40B8934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9C2826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7FCD6D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14B8C13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食品安全抽检</w:t>
            </w:r>
          </w:p>
        </w:tc>
        <w:tc>
          <w:tcPr>
            <w:tcW w:w="7500" w:type="dxa"/>
            <w:shd w:val="clear" w:color="auto" w:fill="auto"/>
            <w:vAlign w:val="center"/>
          </w:tcPr>
          <w:p w14:paraId="3F9894C1">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是否及时向社会公开由本级组织的食品安全抽检情况，包括检查实施主体、被抽检单位名称、被抽检食品名称、标示的产品生产日期/批号/规格、检验依据、检验机构、检查结果</w:t>
            </w:r>
          </w:p>
        </w:tc>
        <w:tc>
          <w:tcPr>
            <w:tcW w:w="1501" w:type="dxa"/>
            <w:vMerge w:val="continue"/>
            <w:shd w:val="clear" w:color="auto" w:fill="auto"/>
            <w:vAlign w:val="center"/>
          </w:tcPr>
          <w:p w14:paraId="5F9919E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19B8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07" w:type="dxa"/>
            <w:vMerge w:val="continue"/>
            <w:shd w:val="clear" w:color="auto" w:fill="auto"/>
            <w:vAlign w:val="center"/>
          </w:tcPr>
          <w:p w14:paraId="4D3DA4A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F61C0F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24234C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51FA211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药品零售经营监督检查</w:t>
            </w:r>
          </w:p>
        </w:tc>
        <w:tc>
          <w:tcPr>
            <w:tcW w:w="7500" w:type="dxa"/>
            <w:shd w:val="clear" w:color="auto" w:fill="auto"/>
            <w:vAlign w:val="center"/>
          </w:tcPr>
          <w:p w14:paraId="1DBBB0FA">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是否及时公开本地区药品零售经营监督检查情况，包括检查制度、检查标准、检查结果等信息</w:t>
            </w:r>
          </w:p>
        </w:tc>
        <w:tc>
          <w:tcPr>
            <w:tcW w:w="1501" w:type="dxa"/>
            <w:vMerge w:val="continue"/>
            <w:shd w:val="clear" w:color="auto" w:fill="auto"/>
            <w:vAlign w:val="center"/>
          </w:tcPr>
          <w:p w14:paraId="14687AE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4D1D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3E243BE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0A3831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466C65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1FF89D2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食品安全消费提示警示</w:t>
            </w:r>
          </w:p>
        </w:tc>
        <w:tc>
          <w:tcPr>
            <w:tcW w:w="7500" w:type="dxa"/>
            <w:shd w:val="clear" w:color="auto" w:fill="auto"/>
            <w:vAlign w:val="center"/>
          </w:tcPr>
          <w:p w14:paraId="268A93C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rPr>
              <w:t>是否及时发布本地区食品安全消费提示、警示信息</w:t>
            </w:r>
          </w:p>
        </w:tc>
        <w:tc>
          <w:tcPr>
            <w:tcW w:w="1501" w:type="dxa"/>
            <w:vMerge w:val="continue"/>
            <w:shd w:val="clear" w:color="auto" w:fill="auto"/>
            <w:vAlign w:val="center"/>
          </w:tcPr>
          <w:p w14:paraId="0C20EFC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4C78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1524F4D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B284F5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shd w:val="clear" w:color="auto" w:fill="auto"/>
            <w:vAlign w:val="center"/>
          </w:tcPr>
          <w:p w14:paraId="659A783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社会救助</w:t>
            </w:r>
          </w:p>
        </w:tc>
        <w:tc>
          <w:tcPr>
            <w:tcW w:w="1800" w:type="dxa"/>
            <w:shd w:val="clear" w:color="auto" w:fill="auto"/>
            <w:vAlign w:val="center"/>
          </w:tcPr>
          <w:p w14:paraId="6933D52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救助政策</w:t>
            </w:r>
          </w:p>
        </w:tc>
        <w:tc>
          <w:tcPr>
            <w:tcW w:w="7500" w:type="dxa"/>
            <w:shd w:val="clear" w:color="auto" w:fill="auto"/>
            <w:vAlign w:val="center"/>
          </w:tcPr>
          <w:p w14:paraId="072CD53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是否集中整理和发布本地区制定和执行的最低生活保障、特困人员救助供养、医疗救助、临时救助有关救助政策信息</w:t>
            </w:r>
          </w:p>
        </w:tc>
        <w:tc>
          <w:tcPr>
            <w:tcW w:w="1501" w:type="dxa"/>
            <w:shd w:val="clear" w:color="auto" w:fill="auto"/>
            <w:vAlign w:val="center"/>
          </w:tcPr>
          <w:p w14:paraId="4CE3D0E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社会事业部</w:t>
            </w:r>
          </w:p>
        </w:tc>
      </w:tr>
      <w:tr w14:paraId="0BB9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restart"/>
            <w:shd w:val="clear" w:color="auto" w:fill="auto"/>
            <w:vAlign w:val="center"/>
          </w:tcPr>
          <w:p w14:paraId="7CD6B98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6F21927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重点领域信息</w:t>
            </w:r>
          </w:p>
        </w:tc>
        <w:tc>
          <w:tcPr>
            <w:tcW w:w="1264" w:type="dxa"/>
            <w:vMerge w:val="restart"/>
            <w:shd w:val="clear" w:color="auto" w:fill="auto"/>
            <w:vAlign w:val="center"/>
          </w:tcPr>
          <w:p w14:paraId="05C0314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lang w:val="en-US" w:eastAsia="zh-CN" w:bidi="ar-SA"/>
              </w:rPr>
            </w:pPr>
            <w:r>
              <w:rPr>
                <w:rFonts w:hint="eastAsia" w:ascii="仿宋_GB2312" w:hAnsi="等线" w:eastAsia="仿宋_GB2312" w:cs="宋体"/>
                <w:color w:val="000000"/>
                <w:kern w:val="0"/>
                <w:sz w:val="24"/>
                <w:szCs w:val="21"/>
              </w:rPr>
              <w:t>社会救助</w:t>
            </w:r>
          </w:p>
        </w:tc>
        <w:tc>
          <w:tcPr>
            <w:tcW w:w="1800" w:type="dxa"/>
            <w:shd w:val="clear" w:color="auto" w:fill="auto"/>
            <w:vAlign w:val="center"/>
          </w:tcPr>
          <w:p w14:paraId="651693F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救助标准</w:t>
            </w:r>
          </w:p>
        </w:tc>
        <w:tc>
          <w:tcPr>
            <w:tcW w:w="7500" w:type="dxa"/>
            <w:shd w:val="clear" w:color="auto" w:fill="auto"/>
            <w:vAlign w:val="center"/>
          </w:tcPr>
          <w:p w14:paraId="620563A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是否及时公开城乡低保、特困人员救助供养、医疗救助、临时救助的救助对象认定、救助标准</w:t>
            </w:r>
          </w:p>
        </w:tc>
        <w:tc>
          <w:tcPr>
            <w:tcW w:w="1501" w:type="dxa"/>
            <w:vMerge w:val="restart"/>
            <w:shd w:val="clear" w:color="auto" w:fill="auto"/>
            <w:vAlign w:val="center"/>
          </w:tcPr>
          <w:p w14:paraId="15B1467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bidi="ar-SA"/>
              </w:rPr>
            </w:pPr>
            <w:r>
              <w:rPr>
                <w:rFonts w:hint="eastAsia" w:ascii="仿宋_GB2312" w:hAnsi="等线" w:eastAsia="仿宋_GB2312" w:cs="宋体"/>
                <w:color w:val="000000"/>
                <w:kern w:val="0"/>
                <w:sz w:val="24"/>
                <w:szCs w:val="21"/>
                <w:lang w:val="en-US" w:eastAsia="zh-CN"/>
              </w:rPr>
              <w:t>社会事业部</w:t>
            </w:r>
          </w:p>
        </w:tc>
      </w:tr>
      <w:tr w14:paraId="5906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307" w:type="dxa"/>
            <w:vMerge w:val="continue"/>
            <w:shd w:val="clear" w:color="auto" w:fill="auto"/>
            <w:vAlign w:val="center"/>
          </w:tcPr>
          <w:p w14:paraId="4331238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4AE86C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66AD1A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lang w:val="en-US" w:eastAsia="zh-CN" w:bidi="ar-SA"/>
              </w:rPr>
            </w:pPr>
          </w:p>
        </w:tc>
        <w:tc>
          <w:tcPr>
            <w:tcW w:w="1800" w:type="dxa"/>
            <w:shd w:val="clear" w:color="auto" w:fill="auto"/>
            <w:vAlign w:val="center"/>
          </w:tcPr>
          <w:p w14:paraId="6B24011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申报指南</w:t>
            </w:r>
          </w:p>
        </w:tc>
        <w:tc>
          <w:tcPr>
            <w:tcW w:w="7500" w:type="dxa"/>
            <w:shd w:val="clear" w:color="auto" w:fill="auto"/>
            <w:vAlign w:val="center"/>
          </w:tcPr>
          <w:p w14:paraId="60962D8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是否公开城乡低保、特困人员救助供养、医疗救助、临时救助的申报指南</w:t>
            </w:r>
          </w:p>
        </w:tc>
        <w:tc>
          <w:tcPr>
            <w:tcW w:w="1501" w:type="dxa"/>
            <w:vMerge w:val="continue"/>
            <w:shd w:val="clear" w:color="auto" w:fill="auto"/>
            <w:vAlign w:val="center"/>
          </w:tcPr>
          <w:p w14:paraId="579F47C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bidi="ar-SA"/>
              </w:rPr>
            </w:pPr>
          </w:p>
        </w:tc>
      </w:tr>
      <w:tr w14:paraId="3F9B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3" w:hRule="atLeast"/>
          <w:jc w:val="center"/>
        </w:trPr>
        <w:tc>
          <w:tcPr>
            <w:tcW w:w="1307" w:type="dxa"/>
            <w:vMerge w:val="continue"/>
            <w:shd w:val="clear" w:color="auto" w:fill="auto"/>
            <w:vAlign w:val="center"/>
          </w:tcPr>
          <w:p w14:paraId="6E1A5AC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91EBDC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F60497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49A1D85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救助情况</w:t>
            </w:r>
          </w:p>
        </w:tc>
        <w:tc>
          <w:tcPr>
            <w:tcW w:w="7500" w:type="dxa"/>
            <w:shd w:val="clear" w:color="auto" w:fill="auto"/>
            <w:vAlign w:val="center"/>
          </w:tcPr>
          <w:p w14:paraId="0E2ED3C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是否公开城乡低保、特困人员救助供养、医疗救助、临时救助的救助对象名单、人次数、资金支出情况等</w:t>
            </w:r>
          </w:p>
        </w:tc>
        <w:tc>
          <w:tcPr>
            <w:tcW w:w="1501" w:type="dxa"/>
            <w:vMerge w:val="continue"/>
            <w:shd w:val="clear" w:color="auto" w:fill="auto"/>
            <w:vAlign w:val="center"/>
          </w:tcPr>
          <w:p w14:paraId="3063BFA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8B7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07" w:type="dxa"/>
            <w:vMerge w:val="continue"/>
            <w:shd w:val="clear" w:color="auto" w:fill="auto"/>
            <w:vAlign w:val="center"/>
          </w:tcPr>
          <w:p w14:paraId="10250B1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E1E65A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723E481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稳岗就业</w:t>
            </w:r>
          </w:p>
        </w:tc>
        <w:tc>
          <w:tcPr>
            <w:tcW w:w="1800" w:type="dxa"/>
            <w:vMerge w:val="restart"/>
            <w:shd w:val="clear" w:color="auto" w:fill="auto"/>
            <w:vAlign w:val="center"/>
          </w:tcPr>
          <w:p w14:paraId="7A108E9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就业政策</w:t>
            </w:r>
          </w:p>
        </w:tc>
        <w:tc>
          <w:tcPr>
            <w:tcW w:w="7500" w:type="dxa"/>
            <w:shd w:val="clear" w:color="auto" w:fill="auto"/>
            <w:vAlign w:val="center"/>
          </w:tcPr>
          <w:p w14:paraId="226DE46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是否集中整理发布面向相关群体的灵活就业支持政策</w:t>
            </w:r>
          </w:p>
        </w:tc>
        <w:tc>
          <w:tcPr>
            <w:tcW w:w="1501" w:type="dxa"/>
            <w:vMerge w:val="restart"/>
            <w:shd w:val="clear" w:color="auto" w:fill="auto"/>
            <w:vAlign w:val="center"/>
          </w:tcPr>
          <w:p w14:paraId="0573010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社会事业部</w:t>
            </w:r>
          </w:p>
        </w:tc>
      </w:tr>
      <w:tr w14:paraId="3A25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7B8F54E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29BE3E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C5C2B5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FF0348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D281D0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是否公开本地区就业法规咨询信息，包括就业创业政策项目、对象范围、政策申请条件、政策申请材料、办理流程、办理地点（方式）、咨询电话</w:t>
            </w:r>
          </w:p>
        </w:tc>
        <w:tc>
          <w:tcPr>
            <w:tcW w:w="1501" w:type="dxa"/>
            <w:vMerge w:val="continue"/>
            <w:shd w:val="clear" w:color="auto" w:fill="auto"/>
            <w:vAlign w:val="center"/>
          </w:tcPr>
          <w:p w14:paraId="65669EE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7DE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4804A1B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261598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0CB30B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376E914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职业指导</w:t>
            </w:r>
          </w:p>
        </w:tc>
        <w:tc>
          <w:tcPr>
            <w:tcW w:w="7500" w:type="dxa"/>
            <w:shd w:val="clear" w:color="auto" w:fill="auto"/>
            <w:vAlign w:val="center"/>
          </w:tcPr>
          <w:p w14:paraId="7C49AFA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是否公开本地区职业指导的服务内容、服务对象、提交材料、服务时间、服务地点（方式）和咨询电话等信息</w:t>
            </w:r>
          </w:p>
        </w:tc>
        <w:tc>
          <w:tcPr>
            <w:tcW w:w="1501" w:type="dxa"/>
            <w:vMerge w:val="continue"/>
            <w:shd w:val="clear" w:color="auto" w:fill="auto"/>
            <w:vAlign w:val="center"/>
          </w:tcPr>
          <w:p w14:paraId="17FC45D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088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15F72BD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18A7A5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FA7D13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511F578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职业培训</w:t>
            </w:r>
          </w:p>
        </w:tc>
        <w:tc>
          <w:tcPr>
            <w:tcW w:w="7500" w:type="dxa"/>
            <w:shd w:val="clear" w:color="auto" w:fill="auto"/>
            <w:vAlign w:val="center"/>
          </w:tcPr>
          <w:p w14:paraId="611EF4A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是否动态公开技能培训政策规定及经办流程</w:t>
            </w:r>
          </w:p>
        </w:tc>
        <w:tc>
          <w:tcPr>
            <w:tcW w:w="1501" w:type="dxa"/>
            <w:vMerge w:val="continue"/>
            <w:shd w:val="clear" w:color="auto" w:fill="auto"/>
            <w:vAlign w:val="center"/>
          </w:tcPr>
          <w:p w14:paraId="74B0243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622D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52875E0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F35B6A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93BDAC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23F30A0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46FD3E6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是否动态公开本地区职业培训信息，包括培训项目、对象范围、培训内容、培训课时、授课地点、补贴标准、报名材料、报名地点（方式）、咨询电话</w:t>
            </w:r>
          </w:p>
        </w:tc>
        <w:tc>
          <w:tcPr>
            <w:tcW w:w="1501" w:type="dxa"/>
            <w:vMerge w:val="continue"/>
            <w:shd w:val="clear" w:color="auto" w:fill="auto"/>
            <w:vAlign w:val="center"/>
          </w:tcPr>
          <w:p w14:paraId="469EC20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861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07" w:type="dxa"/>
            <w:vMerge w:val="continue"/>
            <w:shd w:val="clear" w:color="auto" w:fill="auto"/>
            <w:vAlign w:val="center"/>
          </w:tcPr>
          <w:p w14:paraId="462EFB6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06D616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3822D8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00549F6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补贴信息</w:t>
            </w:r>
          </w:p>
        </w:tc>
        <w:tc>
          <w:tcPr>
            <w:tcW w:w="7500" w:type="dxa"/>
            <w:shd w:val="clear" w:color="auto" w:fill="auto"/>
            <w:vAlign w:val="center"/>
          </w:tcPr>
          <w:p w14:paraId="1B66A5F3">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是否及时公开就业创业相关补贴申领条件、程序、管理和审批等信息</w:t>
            </w:r>
          </w:p>
        </w:tc>
        <w:tc>
          <w:tcPr>
            <w:tcW w:w="1501" w:type="dxa"/>
            <w:vMerge w:val="continue"/>
            <w:shd w:val="clear" w:color="auto" w:fill="auto"/>
            <w:vAlign w:val="center"/>
          </w:tcPr>
          <w:p w14:paraId="0A4A802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8E4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07" w:type="dxa"/>
            <w:vMerge w:val="continue"/>
            <w:shd w:val="clear" w:color="auto" w:fill="auto"/>
            <w:vAlign w:val="center"/>
          </w:tcPr>
          <w:p w14:paraId="6A6DB0C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7A190C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58ADEA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3D95E69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就业服务</w:t>
            </w:r>
          </w:p>
        </w:tc>
        <w:tc>
          <w:tcPr>
            <w:tcW w:w="7500" w:type="dxa"/>
            <w:shd w:val="clear" w:color="auto" w:fill="auto"/>
            <w:vAlign w:val="center"/>
          </w:tcPr>
          <w:p w14:paraId="279485C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是否动态公开本地区就业岗位信息，包括招聘单位、岗位要求、福利待遇、招聘流程、应聘方式、咨询电话</w:t>
            </w:r>
          </w:p>
        </w:tc>
        <w:tc>
          <w:tcPr>
            <w:tcW w:w="1501" w:type="dxa"/>
            <w:vMerge w:val="continue"/>
            <w:shd w:val="clear" w:color="auto" w:fill="auto"/>
            <w:vAlign w:val="center"/>
          </w:tcPr>
          <w:p w14:paraId="6BDC5A6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169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4" w:hRule="atLeast"/>
          <w:jc w:val="center"/>
        </w:trPr>
        <w:tc>
          <w:tcPr>
            <w:tcW w:w="1307" w:type="dxa"/>
            <w:vMerge w:val="continue"/>
            <w:shd w:val="clear" w:color="auto" w:fill="auto"/>
            <w:vAlign w:val="center"/>
          </w:tcPr>
          <w:p w14:paraId="5DC18CD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03BCDF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F8DA2D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AD3D6D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5B895EE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是否分类公开面向就业困难人员、高校毕业生、贫困劳动力、失业人员、退役军人等就业专项活动</w:t>
            </w:r>
          </w:p>
        </w:tc>
        <w:tc>
          <w:tcPr>
            <w:tcW w:w="1501" w:type="dxa"/>
            <w:vMerge w:val="continue"/>
            <w:shd w:val="clear" w:color="auto" w:fill="auto"/>
            <w:vAlign w:val="center"/>
          </w:tcPr>
          <w:p w14:paraId="1380D1E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3A5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307" w:type="dxa"/>
            <w:vMerge w:val="restart"/>
            <w:shd w:val="clear" w:color="auto" w:fill="auto"/>
            <w:vAlign w:val="center"/>
          </w:tcPr>
          <w:p w14:paraId="782ACB3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00FCA79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重点领域信息</w:t>
            </w:r>
          </w:p>
        </w:tc>
        <w:tc>
          <w:tcPr>
            <w:tcW w:w="1264" w:type="dxa"/>
            <w:vMerge w:val="restart"/>
            <w:shd w:val="clear" w:color="auto" w:fill="auto"/>
            <w:vAlign w:val="center"/>
          </w:tcPr>
          <w:p w14:paraId="1FA7359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养老服务</w:t>
            </w:r>
          </w:p>
        </w:tc>
        <w:tc>
          <w:tcPr>
            <w:tcW w:w="1800" w:type="dxa"/>
            <w:vMerge w:val="restart"/>
            <w:shd w:val="clear" w:color="auto" w:fill="auto"/>
            <w:vAlign w:val="center"/>
          </w:tcPr>
          <w:p w14:paraId="7FD9086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通用政策</w:t>
            </w:r>
          </w:p>
        </w:tc>
        <w:tc>
          <w:tcPr>
            <w:tcW w:w="7500" w:type="dxa"/>
            <w:shd w:val="clear" w:color="auto" w:fill="auto"/>
            <w:vAlign w:val="center"/>
          </w:tcPr>
          <w:p w14:paraId="64ED527B">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是否公开本地区养老服务扶持政策措施清单及养老机构投资指南等养老服务、养老机构相关补贴政策</w:t>
            </w:r>
          </w:p>
        </w:tc>
        <w:tc>
          <w:tcPr>
            <w:tcW w:w="1501" w:type="dxa"/>
            <w:vMerge w:val="restart"/>
            <w:shd w:val="clear" w:color="auto" w:fill="auto"/>
            <w:vAlign w:val="center"/>
          </w:tcPr>
          <w:p w14:paraId="13FCA1E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社会事业部</w:t>
            </w:r>
          </w:p>
        </w:tc>
      </w:tr>
      <w:tr w14:paraId="4D03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606DD62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D820B4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29D62B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A23D03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7160869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是否公开本地区养老服务设施评估结果、养老公共服务清单等信息</w:t>
            </w:r>
          </w:p>
        </w:tc>
        <w:tc>
          <w:tcPr>
            <w:tcW w:w="1501" w:type="dxa"/>
            <w:vMerge w:val="continue"/>
            <w:shd w:val="clear" w:color="auto" w:fill="auto"/>
            <w:vAlign w:val="center"/>
          </w:tcPr>
          <w:p w14:paraId="044FCA9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A5A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307" w:type="dxa"/>
            <w:vMerge w:val="continue"/>
            <w:shd w:val="clear" w:color="auto" w:fill="auto"/>
            <w:vAlign w:val="center"/>
          </w:tcPr>
          <w:p w14:paraId="3A9AC40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A22E3E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B73C48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2F85B27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养老机构</w:t>
            </w:r>
          </w:p>
        </w:tc>
        <w:tc>
          <w:tcPr>
            <w:tcW w:w="7500" w:type="dxa"/>
            <w:shd w:val="clear" w:color="auto" w:fill="auto"/>
            <w:vAlign w:val="center"/>
          </w:tcPr>
          <w:p w14:paraId="24CE1A8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是否按月公开本行政区域已备案养老机构案数量，以及已备案养老机构名称、机构地址、床位数量等基本信息</w:t>
            </w:r>
          </w:p>
        </w:tc>
        <w:tc>
          <w:tcPr>
            <w:tcW w:w="1501" w:type="dxa"/>
            <w:vMerge w:val="continue"/>
            <w:shd w:val="clear" w:color="auto" w:fill="auto"/>
            <w:vAlign w:val="center"/>
          </w:tcPr>
          <w:p w14:paraId="01D25F4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DAB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307" w:type="dxa"/>
            <w:vMerge w:val="continue"/>
            <w:shd w:val="clear" w:color="auto" w:fill="auto"/>
            <w:vAlign w:val="center"/>
          </w:tcPr>
          <w:p w14:paraId="0E3BA98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9477D8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B6BDF6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4237F41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3B7093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是否及时公开本行政区域养老机构评估事项（综合评估、标准评定等）申请数量、评估总体结果（综合评估、标准评估等）和评估机构清单</w:t>
            </w:r>
          </w:p>
        </w:tc>
        <w:tc>
          <w:tcPr>
            <w:tcW w:w="1501" w:type="dxa"/>
            <w:vMerge w:val="continue"/>
            <w:shd w:val="clear" w:color="auto" w:fill="auto"/>
            <w:vAlign w:val="center"/>
          </w:tcPr>
          <w:p w14:paraId="57A4AEA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DBF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1F2AFB4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F81EE0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37F678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3BD14E6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补贴发放情况</w:t>
            </w:r>
          </w:p>
        </w:tc>
        <w:tc>
          <w:tcPr>
            <w:tcW w:w="7500" w:type="dxa"/>
            <w:shd w:val="clear" w:color="auto" w:fill="auto"/>
            <w:vAlign w:val="center"/>
          </w:tcPr>
          <w:p w14:paraId="0A0AA4D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是否定期公开本行政区域各项养老服务扶持补贴申请数量，以及各项养老服务扶持补贴申请审核通过数量、申请审核通过名单及补贴金额、发放总金额</w:t>
            </w:r>
          </w:p>
        </w:tc>
        <w:tc>
          <w:tcPr>
            <w:tcW w:w="1501" w:type="dxa"/>
            <w:vMerge w:val="continue"/>
            <w:shd w:val="clear" w:color="auto" w:fill="auto"/>
            <w:vAlign w:val="center"/>
          </w:tcPr>
          <w:p w14:paraId="71D42FD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25D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1" w:hRule="atLeast"/>
          <w:jc w:val="center"/>
        </w:trPr>
        <w:tc>
          <w:tcPr>
            <w:tcW w:w="1307" w:type="dxa"/>
            <w:vMerge w:val="continue"/>
            <w:shd w:val="clear" w:color="auto" w:fill="auto"/>
            <w:vAlign w:val="center"/>
          </w:tcPr>
          <w:p w14:paraId="4833A0C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01B2B9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A52CF6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098382F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E40EFB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是否按定期公开本区域经济困难老年人生活补贴、护理补贴，高龄津贴等各项老年人补贴申领数量、审核通过数量、审核通过名单以及各项补贴发放总金额</w:t>
            </w:r>
          </w:p>
        </w:tc>
        <w:tc>
          <w:tcPr>
            <w:tcW w:w="1501" w:type="dxa"/>
            <w:vMerge w:val="continue"/>
            <w:shd w:val="clear" w:color="auto" w:fill="auto"/>
            <w:vAlign w:val="center"/>
          </w:tcPr>
          <w:p w14:paraId="515044F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BD0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1" w:hRule="atLeast"/>
          <w:jc w:val="center"/>
        </w:trPr>
        <w:tc>
          <w:tcPr>
            <w:tcW w:w="1307" w:type="dxa"/>
            <w:vMerge w:val="continue"/>
            <w:shd w:val="clear" w:color="auto" w:fill="auto"/>
            <w:vAlign w:val="center"/>
          </w:tcPr>
          <w:p w14:paraId="32CAA59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FA62E2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3522194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涉农补贴</w:t>
            </w:r>
          </w:p>
        </w:tc>
        <w:tc>
          <w:tcPr>
            <w:tcW w:w="1800" w:type="dxa"/>
            <w:vMerge w:val="restart"/>
            <w:shd w:val="clear" w:color="auto" w:fill="auto"/>
            <w:vAlign w:val="center"/>
          </w:tcPr>
          <w:p w14:paraId="6E43CB4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农业生产</w:t>
            </w:r>
          </w:p>
          <w:p w14:paraId="3F73394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发展资金</w:t>
            </w:r>
          </w:p>
        </w:tc>
        <w:tc>
          <w:tcPr>
            <w:tcW w:w="7500" w:type="dxa"/>
            <w:shd w:val="clear" w:color="auto" w:fill="auto"/>
            <w:vAlign w:val="center"/>
          </w:tcPr>
          <w:p w14:paraId="5BF65B3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是否及时公开农机购置补贴相关的政策依据、申请指南、补贴结果、监督渠道</w:t>
            </w:r>
          </w:p>
        </w:tc>
        <w:tc>
          <w:tcPr>
            <w:tcW w:w="1501" w:type="dxa"/>
            <w:vMerge w:val="restart"/>
            <w:shd w:val="clear" w:color="auto" w:fill="auto"/>
            <w:vAlign w:val="center"/>
          </w:tcPr>
          <w:p w14:paraId="47BCFE3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经济发展部</w:t>
            </w:r>
          </w:p>
        </w:tc>
      </w:tr>
      <w:tr w14:paraId="61B5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8" w:hRule="atLeast"/>
          <w:jc w:val="center"/>
        </w:trPr>
        <w:tc>
          <w:tcPr>
            <w:tcW w:w="1307" w:type="dxa"/>
            <w:vMerge w:val="continue"/>
            <w:shd w:val="clear" w:color="auto" w:fill="auto"/>
            <w:vAlign w:val="center"/>
          </w:tcPr>
          <w:p w14:paraId="428A858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D24DAB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DF9D1C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EB115A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6695AF0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是否及时公开耕地地力补贴相关的政策依据、申请指南、补贴结果、监督渠道</w:t>
            </w:r>
          </w:p>
        </w:tc>
        <w:tc>
          <w:tcPr>
            <w:tcW w:w="1501" w:type="dxa"/>
            <w:vMerge w:val="continue"/>
            <w:shd w:val="clear" w:color="auto" w:fill="auto"/>
            <w:vAlign w:val="center"/>
          </w:tcPr>
          <w:p w14:paraId="40ED34C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FCF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restart"/>
            <w:shd w:val="clear" w:color="auto" w:fill="auto"/>
            <w:vAlign w:val="center"/>
          </w:tcPr>
          <w:p w14:paraId="49A3DF6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0898E44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lang w:val="en-US" w:eastAsia="zh-CN" w:bidi="ar-SA"/>
              </w:rPr>
            </w:pPr>
            <w:r>
              <w:rPr>
                <w:rFonts w:hint="eastAsia" w:ascii="仿宋_GB2312" w:hAnsi="等线" w:eastAsia="仿宋_GB2312" w:cs="宋体"/>
                <w:color w:val="000000"/>
                <w:kern w:val="0"/>
                <w:sz w:val="24"/>
                <w:szCs w:val="21"/>
              </w:rPr>
              <w:t>重点领域信息</w:t>
            </w:r>
          </w:p>
        </w:tc>
        <w:tc>
          <w:tcPr>
            <w:tcW w:w="1264" w:type="dxa"/>
            <w:vMerge w:val="restart"/>
            <w:shd w:val="clear" w:color="auto" w:fill="auto"/>
            <w:vAlign w:val="center"/>
          </w:tcPr>
          <w:p w14:paraId="68FBF21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涉农补贴</w:t>
            </w:r>
          </w:p>
        </w:tc>
        <w:tc>
          <w:tcPr>
            <w:tcW w:w="1800" w:type="dxa"/>
            <w:vMerge w:val="restart"/>
            <w:shd w:val="clear" w:color="auto" w:fill="auto"/>
            <w:vAlign w:val="center"/>
          </w:tcPr>
          <w:p w14:paraId="1A65148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农业生产</w:t>
            </w:r>
          </w:p>
          <w:p w14:paraId="1676941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发展资金</w:t>
            </w:r>
          </w:p>
        </w:tc>
        <w:tc>
          <w:tcPr>
            <w:tcW w:w="7500" w:type="dxa"/>
            <w:shd w:val="clear" w:color="auto" w:fill="auto"/>
            <w:vAlign w:val="center"/>
          </w:tcPr>
          <w:p w14:paraId="4C89219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是否及时公开新型职业农民培育补贴相关的政策依据、申请指南、补贴结果、监督渠道</w:t>
            </w:r>
          </w:p>
        </w:tc>
        <w:tc>
          <w:tcPr>
            <w:tcW w:w="1501" w:type="dxa"/>
            <w:vMerge w:val="restart"/>
            <w:shd w:val="clear" w:color="auto" w:fill="auto"/>
            <w:vAlign w:val="center"/>
          </w:tcPr>
          <w:p w14:paraId="1D85B45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bidi="ar-SA"/>
              </w:rPr>
            </w:pPr>
            <w:r>
              <w:rPr>
                <w:rFonts w:hint="eastAsia" w:ascii="仿宋_GB2312" w:hAnsi="等线" w:eastAsia="仿宋_GB2312" w:cs="宋体"/>
                <w:color w:val="000000"/>
                <w:kern w:val="0"/>
                <w:sz w:val="24"/>
                <w:szCs w:val="21"/>
                <w:lang w:val="en-US" w:eastAsia="zh-CN"/>
              </w:rPr>
              <w:t>经济发展部</w:t>
            </w:r>
          </w:p>
        </w:tc>
      </w:tr>
      <w:tr w14:paraId="7018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4EC8CA0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0C996A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FD998F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1E27123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99C17B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是否及时公开支持新型农业经营主体补贴相关的政策依据、申请指南、补贴结果、监督渠道</w:t>
            </w:r>
          </w:p>
        </w:tc>
        <w:tc>
          <w:tcPr>
            <w:tcW w:w="1501" w:type="dxa"/>
            <w:vMerge w:val="continue"/>
            <w:shd w:val="clear" w:color="auto" w:fill="auto"/>
            <w:vAlign w:val="center"/>
          </w:tcPr>
          <w:p w14:paraId="5CD75A4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6DAE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55F12E5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EB51D0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2B0B0B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18E2979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动物防疫等补助经费</w:t>
            </w:r>
          </w:p>
        </w:tc>
        <w:tc>
          <w:tcPr>
            <w:tcW w:w="7500" w:type="dxa"/>
            <w:shd w:val="clear" w:color="auto" w:fill="auto"/>
            <w:vAlign w:val="center"/>
          </w:tcPr>
          <w:p w14:paraId="2520349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是否及时公开强制扑杀、强制免疫和养殖环节无害化处理补助相关的政策依据、申请指南、补贴结果、监督渠道</w:t>
            </w:r>
          </w:p>
        </w:tc>
        <w:tc>
          <w:tcPr>
            <w:tcW w:w="1501" w:type="dxa"/>
            <w:vMerge w:val="continue"/>
            <w:shd w:val="clear" w:color="auto" w:fill="auto"/>
            <w:vAlign w:val="center"/>
          </w:tcPr>
          <w:p w14:paraId="633025A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273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3" w:hRule="atLeast"/>
          <w:jc w:val="center"/>
        </w:trPr>
        <w:tc>
          <w:tcPr>
            <w:tcW w:w="1307" w:type="dxa"/>
            <w:vMerge w:val="continue"/>
            <w:shd w:val="clear" w:color="auto" w:fill="auto"/>
            <w:vAlign w:val="center"/>
          </w:tcPr>
          <w:p w14:paraId="31BB72C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EA6B5C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lang w:val="en-US" w:eastAsia="zh-CN" w:bidi="ar-SA"/>
              </w:rPr>
            </w:pPr>
          </w:p>
        </w:tc>
        <w:tc>
          <w:tcPr>
            <w:tcW w:w="1264" w:type="dxa"/>
            <w:shd w:val="clear" w:color="auto" w:fill="auto"/>
            <w:vAlign w:val="center"/>
          </w:tcPr>
          <w:p w14:paraId="10394E9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标准目录编制情况</w:t>
            </w:r>
          </w:p>
        </w:tc>
        <w:tc>
          <w:tcPr>
            <w:tcW w:w="1800" w:type="dxa"/>
            <w:shd w:val="clear" w:color="auto" w:fill="auto"/>
            <w:vAlign w:val="center"/>
          </w:tcPr>
          <w:p w14:paraId="704218A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试点领域</w:t>
            </w:r>
          </w:p>
        </w:tc>
        <w:tc>
          <w:tcPr>
            <w:tcW w:w="7500" w:type="dxa"/>
            <w:shd w:val="clear" w:color="auto" w:fill="auto"/>
            <w:vAlign w:val="center"/>
          </w:tcPr>
          <w:p w14:paraId="3FE5984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编制并发布重大建设项目、公共资源交易、财政预决算、安全生产、救灾、税收管理、保障性住房、国有土地上房屋征收与补偿、农村危房改造、城市综合执法、市政服务、生态环境、公共文化服务、公共法律服务、扶贫（乡村振兴）、食品药品监管、就业、社会保险、社会救助、养老服务、户籍管理、涉农补贴、义务教育、卫生健康等领域基层政务公开标准目录（未涉及的领域需在公开页面说明相关情况）</w:t>
            </w:r>
          </w:p>
        </w:tc>
        <w:tc>
          <w:tcPr>
            <w:tcW w:w="1501" w:type="dxa"/>
            <w:shd w:val="clear" w:color="auto" w:fill="auto"/>
            <w:vAlign w:val="center"/>
          </w:tcPr>
          <w:p w14:paraId="6C7788E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highlight w:val="none"/>
                <w:lang w:val="en-US" w:eastAsia="zh-CN"/>
              </w:rPr>
              <w:t>宣传文化部、社会治理部、经济发展部、产业促进部、财政金融部、规划和自然资源部、建设管理部、</w:t>
            </w:r>
            <w:r>
              <w:rPr>
                <w:rFonts w:hint="eastAsia" w:ascii="仿宋_GB2312" w:hAnsi="等线" w:eastAsia="仿宋_GB2312" w:cs="宋体"/>
                <w:color w:val="000000"/>
                <w:spacing w:val="-6"/>
                <w:kern w:val="0"/>
                <w:sz w:val="24"/>
                <w:szCs w:val="21"/>
                <w:highlight w:val="none"/>
                <w:lang w:val="en-US" w:eastAsia="zh-CN"/>
              </w:rPr>
              <w:t>社会事业部、综合执法部、数字城市部、区公安分局、区生态环境分局、区税务局</w:t>
            </w:r>
          </w:p>
        </w:tc>
      </w:tr>
      <w:tr w14:paraId="2B8D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307" w:type="dxa"/>
            <w:vMerge w:val="restart"/>
            <w:shd w:val="clear" w:color="auto" w:fill="auto"/>
            <w:vAlign w:val="center"/>
          </w:tcPr>
          <w:p w14:paraId="0C48DD2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w:t>
            </w:r>
          </w:p>
        </w:tc>
        <w:tc>
          <w:tcPr>
            <w:tcW w:w="1222" w:type="dxa"/>
            <w:vMerge w:val="restart"/>
            <w:shd w:val="clear" w:color="auto" w:fill="auto"/>
            <w:vAlign w:val="center"/>
          </w:tcPr>
          <w:p w14:paraId="2D2E0EB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重点领域信息</w:t>
            </w:r>
          </w:p>
        </w:tc>
        <w:tc>
          <w:tcPr>
            <w:tcW w:w="1264" w:type="dxa"/>
            <w:shd w:val="clear" w:color="auto" w:fill="auto"/>
            <w:vAlign w:val="center"/>
          </w:tcPr>
          <w:p w14:paraId="19757E4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标准目录编制情况</w:t>
            </w:r>
          </w:p>
        </w:tc>
        <w:tc>
          <w:tcPr>
            <w:tcW w:w="1800" w:type="dxa"/>
            <w:shd w:val="clear" w:color="auto" w:fill="auto"/>
            <w:vAlign w:val="center"/>
          </w:tcPr>
          <w:p w14:paraId="2041F40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新增领域</w:t>
            </w:r>
          </w:p>
        </w:tc>
        <w:tc>
          <w:tcPr>
            <w:tcW w:w="7500" w:type="dxa"/>
            <w:shd w:val="clear" w:color="auto" w:fill="auto"/>
            <w:vAlign w:val="center"/>
          </w:tcPr>
          <w:p w14:paraId="2EA07896">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是否编制并发布交通运输、旅游、广播电视、统计、新闻出版版权、自然资源、水利等领域基层政务公开标准目录（未涉及的领域需在公开页面说明相关情况）</w:t>
            </w:r>
          </w:p>
        </w:tc>
        <w:tc>
          <w:tcPr>
            <w:tcW w:w="1501" w:type="dxa"/>
            <w:shd w:val="clear" w:color="auto" w:fill="auto"/>
            <w:vAlign w:val="center"/>
          </w:tcPr>
          <w:p w14:paraId="6C9ED01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spacing w:val="-6"/>
                <w:kern w:val="0"/>
                <w:sz w:val="24"/>
                <w:szCs w:val="21"/>
                <w:highlight w:val="none"/>
                <w:lang w:val="en-US" w:eastAsia="zh-CN"/>
              </w:rPr>
              <w:t>宣传文化部、经济发展部、规划和自然资源部、建设管理部</w:t>
            </w:r>
          </w:p>
        </w:tc>
      </w:tr>
      <w:tr w14:paraId="37DA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9" w:hRule="atLeast"/>
          <w:jc w:val="center"/>
        </w:trPr>
        <w:tc>
          <w:tcPr>
            <w:tcW w:w="1307" w:type="dxa"/>
            <w:vMerge w:val="continue"/>
            <w:shd w:val="clear" w:color="auto" w:fill="auto"/>
            <w:vAlign w:val="center"/>
          </w:tcPr>
          <w:p w14:paraId="016C5AA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829C9E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449491D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文化（激励指标）</w:t>
            </w:r>
          </w:p>
        </w:tc>
        <w:tc>
          <w:tcPr>
            <w:tcW w:w="1800" w:type="dxa"/>
            <w:vMerge w:val="restart"/>
            <w:shd w:val="clear" w:color="auto" w:fill="auto"/>
            <w:vAlign w:val="center"/>
          </w:tcPr>
          <w:p w14:paraId="2452589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公共文化</w:t>
            </w:r>
          </w:p>
          <w:p w14:paraId="1D387A3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服务领域</w:t>
            </w:r>
          </w:p>
        </w:tc>
        <w:tc>
          <w:tcPr>
            <w:tcW w:w="7500" w:type="dxa"/>
            <w:shd w:val="clear" w:color="auto" w:fill="auto"/>
            <w:vAlign w:val="center"/>
          </w:tcPr>
          <w:p w14:paraId="7A6741A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主要评估公共文化服务领域公共文化机构免费开放、群众文化活动、展览讲座等信息公开情况</w:t>
            </w:r>
          </w:p>
        </w:tc>
        <w:tc>
          <w:tcPr>
            <w:tcW w:w="1501" w:type="dxa"/>
            <w:vMerge w:val="restart"/>
            <w:shd w:val="clear" w:color="auto" w:fill="auto"/>
            <w:vAlign w:val="center"/>
          </w:tcPr>
          <w:p w14:paraId="6376424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宣传文化部</w:t>
            </w:r>
          </w:p>
        </w:tc>
      </w:tr>
      <w:tr w14:paraId="0334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5" w:hRule="atLeast"/>
          <w:jc w:val="center"/>
        </w:trPr>
        <w:tc>
          <w:tcPr>
            <w:tcW w:w="1307" w:type="dxa"/>
            <w:vMerge w:val="restart"/>
            <w:shd w:val="clear" w:color="auto" w:fill="auto"/>
            <w:vAlign w:val="center"/>
          </w:tcPr>
          <w:p w14:paraId="3E8EA6C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依申请公开</w:t>
            </w:r>
          </w:p>
        </w:tc>
        <w:tc>
          <w:tcPr>
            <w:tcW w:w="1222" w:type="dxa"/>
            <w:vMerge w:val="restart"/>
            <w:shd w:val="clear" w:color="auto" w:fill="auto"/>
            <w:vAlign w:val="center"/>
          </w:tcPr>
          <w:p w14:paraId="1491F83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渠道</w:t>
            </w:r>
          </w:p>
          <w:p w14:paraId="6867C0F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畅通性</w:t>
            </w:r>
          </w:p>
        </w:tc>
        <w:tc>
          <w:tcPr>
            <w:tcW w:w="1264" w:type="dxa"/>
            <w:vMerge w:val="restart"/>
            <w:shd w:val="clear" w:color="auto" w:fill="auto"/>
            <w:vAlign w:val="center"/>
          </w:tcPr>
          <w:p w14:paraId="6231F03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提交申请</w:t>
            </w:r>
          </w:p>
        </w:tc>
        <w:tc>
          <w:tcPr>
            <w:tcW w:w="1800" w:type="dxa"/>
            <w:vMerge w:val="restart"/>
            <w:shd w:val="clear" w:color="auto" w:fill="auto"/>
            <w:vAlign w:val="center"/>
          </w:tcPr>
          <w:p w14:paraId="09D717E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互联网渠道</w:t>
            </w:r>
          </w:p>
        </w:tc>
        <w:tc>
          <w:tcPr>
            <w:tcW w:w="7500" w:type="dxa"/>
            <w:shd w:val="clear" w:color="auto" w:fill="auto"/>
            <w:vAlign w:val="center"/>
          </w:tcPr>
          <w:p w14:paraId="390AD1C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是否开通互联网申请渠道或提供电子邮箱申请方式，并在政府信息公开指南中说明</w:t>
            </w:r>
          </w:p>
        </w:tc>
        <w:tc>
          <w:tcPr>
            <w:tcW w:w="1501" w:type="dxa"/>
            <w:vMerge w:val="restart"/>
            <w:shd w:val="clear" w:color="auto" w:fill="auto"/>
            <w:vAlign w:val="center"/>
          </w:tcPr>
          <w:p w14:paraId="463438E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办公室牵头，各职能部门、各街道办事处配合</w:t>
            </w:r>
          </w:p>
        </w:tc>
      </w:tr>
      <w:tr w14:paraId="3648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07" w:type="dxa"/>
            <w:vMerge w:val="continue"/>
            <w:shd w:val="clear" w:color="auto" w:fill="auto"/>
            <w:vAlign w:val="center"/>
          </w:tcPr>
          <w:p w14:paraId="4EBB454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AC73D4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9AA9E3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2B7C191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37CA7E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互联网渠道是否畅通</w:t>
            </w:r>
          </w:p>
        </w:tc>
        <w:tc>
          <w:tcPr>
            <w:tcW w:w="1501" w:type="dxa"/>
            <w:vMerge w:val="continue"/>
            <w:shd w:val="clear" w:color="auto" w:fill="auto"/>
            <w:vAlign w:val="center"/>
          </w:tcPr>
          <w:p w14:paraId="0648C15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0F61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Merge w:val="continue"/>
            <w:shd w:val="clear" w:color="auto" w:fill="auto"/>
            <w:vAlign w:val="center"/>
          </w:tcPr>
          <w:p w14:paraId="484D085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2E5B5F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A9317F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5F384A8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信函渠道</w:t>
            </w:r>
          </w:p>
        </w:tc>
        <w:tc>
          <w:tcPr>
            <w:tcW w:w="7500" w:type="dxa"/>
            <w:shd w:val="clear" w:color="auto" w:fill="auto"/>
            <w:vAlign w:val="center"/>
          </w:tcPr>
          <w:p w14:paraId="353AC6E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是否开通信函申请渠道，并在政府信息公开指南中提供受理机构名称、联系电话、通讯地址、邮编等信息</w:t>
            </w:r>
          </w:p>
        </w:tc>
        <w:tc>
          <w:tcPr>
            <w:tcW w:w="1501" w:type="dxa"/>
            <w:vMerge w:val="continue"/>
            <w:shd w:val="clear" w:color="auto" w:fill="auto"/>
            <w:vAlign w:val="center"/>
          </w:tcPr>
          <w:p w14:paraId="0B6EF5E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CB6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307" w:type="dxa"/>
            <w:vMerge w:val="continue"/>
            <w:shd w:val="clear" w:color="auto" w:fill="auto"/>
            <w:vAlign w:val="center"/>
          </w:tcPr>
          <w:p w14:paraId="29D918C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0A40B6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CD5C4D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6A581A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309FC2A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信函渠道是否畅通</w:t>
            </w:r>
          </w:p>
        </w:tc>
        <w:tc>
          <w:tcPr>
            <w:tcW w:w="1501" w:type="dxa"/>
            <w:vMerge w:val="continue"/>
            <w:shd w:val="clear" w:color="auto" w:fill="auto"/>
            <w:vAlign w:val="center"/>
          </w:tcPr>
          <w:p w14:paraId="1492380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754C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307" w:type="dxa"/>
            <w:vMerge w:val="continue"/>
            <w:shd w:val="clear" w:color="auto" w:fill="auto"/>
            <w:vAlign w:val="center"/>
          </w:tcPr>
          <w:p w14:paraId="5818FFF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restart"/>
            <w:shd w:val="clear" w:color="auto" w:fill="auto"/>
            <w:vAlign w:val="center"/>
          </w:tcPr>
          <w:p w14:paraId="3C62BB6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答复</w:t>
            </w:r>
          </w:p>
          <w:p w14:paraId="2F65301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规范性</w:t>
            </w:r>
          </w:p>
        </w:tc>
        <w:tc>
          <w:tcPr>
            <w:tcW w:w="1264" w:type="dxa"/>
            <w:vMerge w:val="restart"/>
            <w:shd w:val="clear" w:color="auto" w:fill="auto"/>
            <w:vAlign w:val="center"/>
          </w:tcPr>
          <w:p w14:paraId="7887E58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互联网/信函渠道</w:t>
            </w:r>
          </w:p>
        </w:tc>
        <w:tc>
          <w:tcPr>
            <w:tcW w:w="1800" w:type="dxa"/>
            <w:shd w:val="clear" w:color="auto" w:fill="auto"/>
            <w:vAlign w:val="center"/>
          </w:tcPr>
          <w:p w14:paraId="7FAAFCA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答复时限</w:t>
            </w:r>
          </w:p>
        </w:tc>
        <w:tc>
          <w:tcPr>
            <w:tcW w:w="7500" w:type="dxa"/>
            <w:shd w:val="clear" w:color="auto" w:fill="auto"/>
            <w:vAlign w:val="center"/>
          </w:tcPr>
          <w:p w14:paraId="0055378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是否在规定时限内予以答复</w:t>
            </w:r>
          </w:p>
        </w:tc>
        <w:tc>
          <w:tcPr>
            <w:tcW w:w="1501" w:type="dxa"/>
            <w:vMerge w:val="continue"/>
            <w:shd w:val="clear" w:color="auto" w:fill="auto"/>
            <w:vAlign w:val="center"/>
          </w:tcPr>
          <w:p w14:paraId="3664A5C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D66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307" w:type="dxa"/>
            <w:vMerge w:val="continue"/>
            <w:shd w:val="clear" w:color="auto" w:fill="auto"/>
            <w:vAlign w:val="center"/>
          </w:tcPr>
          <w:p w14:paraId="41748CF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AD46B7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0B1EF3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51CDE8A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形式规范性</w:t>
            </w:r>
          </w:p>
        </w:tc>
        <w:tc>
          <w:tcPr>
            <w:tcW w:w="7500" w:type="dxa"/>
            <w:shd w:val="clear" w:color="auto" w:fill="auto"/>
            <w:vAlign w:val="center"/>
          </w:tcPr>
          <w:p w14:paraId="1356848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是否按照申请人要求的形式予以答复</w:t>
            </w:r>
          </w:p>
        </w:tc>
        <w:tc>
          <w:tcPr>
            <w:tcW w:w="1501" w:type="dxa"/>
            <w:vMerge w:val="continue"/>
            <w:shd w:val="clear" w:color="auto" w:fill="auto"/>
            <w:vAlign w:val="center"/>
          </w:tcPr>
          <w:p w14:paraId="4302B21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847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Merge w:val="continue"/>
            <w:shd w:val="clear" w:color="auto" w:fill="auto"/>
            <w:vAlign w:val="center"/>
          </w:tcPr>
          <w:p w14:paraId="2106AFF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FC1C27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1711B3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0FCE74C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2D49F8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是否出具书面政府信息公开告知书或答复书（正式文号并加盖单位公章）</w:t>
            </w:r>
          </w:p>
        </w:tc>
        <w:tc>
          <w:tcPr>
            <w:tcW w:w="1501" w:type="dxa"/>
            <w:vMerge w:val="continue"/>
            <w:shd w:val="clear" w:color="auto" w:fill="auto"/>
            <w:vAlign w:val="center"/>
          </w:tcPr>
          <w:p w14:paraId="0E47C6C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CED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07" w:type="dxa"/>
            <w:vMerge w:val="continue"/>
            <w:shd w:val="clear" w:color="auto" w:fill="auto"/>
            <w:vAlign w:val="center"/>
          </w:tcPr>
          <w:p w14:paraId="02466D3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70D4D6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39E1BF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0A768F9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内容规范性</w:t>
            </w:r>
          </w:p>
        </w:tc>
        <w:tc>
          <w:tcPr>
            <w:tcW w:w="7500" w:type="dxa"/>
            <w:shd w:val="clear" w:color="auto" w:fill="auto"/>
            <w:vAlign w:val="center"/>
          </w:tcPr>
          <w:p w14:paraId="6C1882C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答复内容是否有文字性错误</w:t>
            </w:r>
          </w:p>
        </w:tc>
        <w:tc>
          <w:tcPr>
            <w:tcW w:w="1501" w:type="dxa"/>
            <w:vMerge w:val="continue"/>
            <w:shd w:val="clear" w:color="auto" w:fill="auto"/>
            <w:vAlign w:val="center"/>
          </w:tcPr>
          <w:p w14:paraId="62A3C48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9D3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07" w:type="dxa"/>
            <w:vMerge w:val="continue"/>
            <w:shd w:val="clear" w:color="auto" w:fill="auto"/>
            <w:vAlign w:val="center"/>
          </w:tcPr>
          <w:p w14:paraId="155355B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937092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4055BB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E6D421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272497E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是否说明法律依据、理由</w:t>
            </w:r>
          </w:p>
        </w:tc>
        <w:tc>
          <w:tcPr>
            <w:tcW w:w="1501" w:type="dxa"/>
            <w:vMerge w:val="continue"/>
            <w:shd w:val="clear" w:color="auto" w:fill="auto"/>
            <w:vAlign w:val="center"/>
          </w:tcPr>
          <w:p w14:paraId="3A6A7F1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993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307" w:type="dxa"/>
            <w:vMerge w:val="continue"/>
            <w:shd w:val="clear" w:color="auto" w:fill="auto"/>
            <w:vAlign w:val="center"/>
          </w:tcPr>
          <w:p w14:paraId="079511D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692B0E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A46D87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1881F50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7DF3E0C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是否告知救济渠道，并明确救济机关名称、地址、时限等信息</w:t>
            </w:r>
          </w:p>
        </w:tc>
        <w:tc>
          <w:tcPr>
            <w:tcW w:w="1501" w:type="dxa"/>
            <w:vMerge w:val="continue"/>
            <w:shd w:val="clear" w:color="auto" w:fill="auto"/>
            <w:vAlign w:val="center"/>
          </w:tcPr>
          <w:p w14:paraId="6466F33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BF7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restart"/>
            <w:shd w:val="clear" w:color="auto" w:fill="auto"/>
            <w:vAlign w:val="center"/>
          </w:tcPr>
          <w:p w14:paraId="5327A8B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政策解读</w:t>
            </w:r>
          </w:p>
        </w:tc>
        <w:tc>
          <w:tcPr>
            <w:tcW w:w="2486" w:type="dxa"/>
            <w:gridSpan w:val="2"/>
            <w:vMerge w:val="restart"/>
            <w:shd w:val="clear" w:color="auto" w:fill="auto"/>
            <w:vAlign w:val="center"/>
          </w:tcPr>
          <w:p w14:paraId="7CA3AB9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解读发布平台</w:t>
            </w:r>
          </w:p>
        </w:tc>
        <w:tc>
          <w:tcPr>
            <w:tcW w:w="1800" w:type="dxa"/>
            <w:shd w:val="clear" w:color="auto" w:fill="auto"/>
            <w:vAlign w:val="center"/>
          </w:tcPr>
          <w:p w14:paraId="4AE4433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栏目建设</w:t>
            </w:r>
          </w:p>
        </w:tc>
        <w:tc>
          <w:tcPr>
            <w:tcW w:w="7500" w:type="dxa"/>
            <w:shd w:val="clear" w:color="auto" w:fill="auto"/>
            <w:vAlign w:val="center"/>
          </w:tcPr>
          <w:p w14:paraId="5D437001">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是否在政府网站设置政策解读专门栏目并及时更新</w:t>
            </w:r>
          </w:p>
        </w:tc>
        <w:tc>
          <w:tcPr>
            <w:tcW w:w="1501" w:type="dxa"/>
            <w:shd w:val="clear" w:color="auto" w:fill="auto"/>
            <w:vAlign w:val="center"/>
          </w:tcPr>
          <w:p w14:paraId="2D4FD13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办公室、数字城市部</w:t>
            </w:r>
          </w:p>
        </w:tc>
      </w:tr>
      <w:tr w14:paraId="2A29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5DA0DF0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vMerge w:val="continue"/>
            <w:shd w:val="clear" w:color="auto" w:fill="auto"/>
            <w:vAlign w:val="center"/>
          </w:tcPr>
          <w:p w14:paraId="39577DB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77BC4CA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解读关联</w:t>
            </w:r>
          </w:p>
        </w:tc>
        <w:tc>
          <w:tcPr>
            <w:tcW w:w="7500" w:type="dxa"/>
            <w:shd w:val="clear" w:color="auto" w:fill="auto"/>
            <w:vAlign w:val="center"/>
          </w:tcPr>
          <w:p w14:paraId="284CEA3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是否在政策文件页面提供解读材料页面入口</w:t>
            </w:r>
          </w:p>
        </w:tc>
        <w:tc>
          <w:tcPr>
            <w:tcW w:w="1501" w:type="dxa"/>
            <w:vMerge w:val="restart"/>
            <w:shd w:val="clear" w:color="auto" w:fill="auto"/>
            <w:vAlign w:val="center"/>
          </w:tcPr>
          <w:p w14:paraId="5E5A73B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区级文件：办公室牵头，各职能部门、驻区单位配合；部门文件：各职能部门负责</w:t>
            </w:r>
          </w:p>
        </w:tc>
      </w:tr>
      <w:tr w14:paraId="131C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166F53D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vMerge w:val="continue"/>
            <w:shd w:val="clear" w:color="auto" w:fill="auto"/>
            <w:vAlign w:val="center"/>
          </w:tcPr>
          <w:p w14:paraId="656A83F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DF167E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4676A65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是否在解读材料页面关联政策文件有关内容</w:t>
            </w:r>
          </w:p>
        </w:tc>
        <w:tc>
          <w:tcPr>
            <w:tcW w:w="1501" w:type="dxa"/>
            <w:vMerge w:val="continue"/>
            <w:shd w:val="clear" w:color="auto" w:fill="auto"/>
            <w:vAlign w:val="center"/>
          </w:tcPr>
          <w:p w14:paraId="0D4F564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EF2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8" w:hRule="atLeast"/>
          <w:jc w:val="center"/>
        </w:trPr>
        <w:tc>
          <w:tcPr>
            <w:tcW w:w="1307" w:type="dxa"/>
            <w:vMerge w:val="continue"/>
            <w:shd w:val="clear" w:color="auto" w:fill="auto"/>
            <w:vAlign w:val="center"/>
          </w:tcPr>
          <w:p w14:paraId="3AD3B90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vMerge w:val="restart"/>
            <w:shd w:val="clear" w:color="auto" w:fill="auto"/>
            <w:vAlign w:val="center"/>
          </w:tcPr>
          <w:p w14:paraId="12ADD14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解读质量</w:t>
            </w:r>
          </w:p>
        </w:tc>
        <w:tc>
          <w:tcPr>
            <w:tcW w:w="1800" w:type="dxa"/>
            <w:shd w:val="clear" w:color="auto" w:fill="auto"/>
            <w:vAlign w:val="center"/>
          </w:tcPr>
          <w:p w14:paraId="0B9249C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重要政策解读</w:t>
            </w:r>
          </w:p>
        </w:tc>
        <w:tc>
          <w:tcPr>
            <w:tcW w:w="7500" w:type="dxa"/>
            <w:shd w:val="clear" w:color="auto" w:fill="auto"/>
            <w:vAlign w:val="center"/>
          </w:tcPr>
          <w:p w14:paraId="1DE3031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是否围绕激发市场活力、减税降费、扩大有效投资、疫情防控和复工复产、稳就业保就业、优化营商环境、稳住宏观经济大盘等方面，开展本地区政策文件、落实办法的解读</w:t>
            </w:r>
          </w:p>
        </w:tc>
        <w:tc>
          <w:tcPr>
            <w:tcW w:w="1501" w:type="dxa"/>
            <w:vMerge w:val="restart"/>
            <w:shd w:val="clear" w:color="auto" w:fill="auto"/>
            <w:vAlign w:val="center"/>
          </w:tcPr>
          <w:p w14:paraId="21436C3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区级文件：办公室牵头，各职能部门、驻区单位配合；部门文件：各职能部门负责</w:t>
            </w:r>
          </w:p>
        </w:tc>
      </w:tr>
      <w:tr w14:paraId="7048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4DC5111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vMerge w:val="continue"/>
            <w:shd w:val="clear" w:color="auto" w:fill="auto"/>
            <w:vAlign w:val="center"/>
          </w:tcPr>
          <w:p w14:paraId="5AF56DC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6E509FC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解读时效</w:t>
            </w:r>
          </w:p>
        </w:tc>
        <w:tc>
          <w:tcPr>
            <w:tcW w:w="7500" w:type="dxa"/>
            <w:shd w:val="clear" w:color="auto" w:fill="auto"/>
            <w:vAlign w:val="center"/>
          </w:tcPr>
          <w:p w14:paraId="17EC829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是否在政策文件公开后3个工作日内发布相关解读材料</w:t>
            </w:r>
          </w:p>
        </w:tc>
        <w:tc>
          <w:tcPr>
            <w:tcW w:w="1501" w:type="dxa"/>
            <w:vMerge w:val="continue"/>
            <w:shd w:val="clear" w:color="auto" w:fill="auto"/>
            <w:vAlign w:val="center"/>
          </w:tcPr>
          <w:p w14:paraId="11306B3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169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0AC0233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vMerge w:val="continue"/>
            <w:shd w:val="clear" w:color="auto" w:fill="auto"/>
            <w:vAlign w:val="center"/>
          </w:tcPr>
          <w:p w14:paraId="2B7BC04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39FC901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实质性解读</w:t>
            </w:r>
          </w:p>
        </w:tc>
        <w:tc>
          <w:tcPr>
            <w:tcW w:w="7500" w:type="dxa"/>
            <w:shd w:val="clear" w:color="auto" w:fill="auto"/>
            <w:vAlign w:val="center"/>
          </w:tcPr>
          <w:p w14:paraId="44E6530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政策背景、决策依据、出台目的、重要举措等解读内容要素是否全面</w:t>
            </w:r>
          </w:p>
        </w:tc>
        <w:tc>
          <w:tcPr>
            <w:tcW w:w="1501" w:type="dxa"/>
            <w:vMerge w:val="continue"/>
            <w:shd w:val="clear" w:color="auto" w:fill="auto"/>
            <w:vAlign w:val="center"/>
          </w:tcPr>
          <w:p w14:paraId="2113B8B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85D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4" w:hRule="atLeast"/>
          <w:jc w:val="center"/>
        </w:trPr>
        <w:tc>
          <w:tcPr>
            <w:tcW w:w="1307" w:type="dxa"/>
            <w:vMerge w:val="continue"/>
            <w:shd w:val="clear" w:color="auto" w:fill="auto"/>
            <w:vAlign w:val="center"/>
          </w:tcPr>
          <w:p w14:paraId="0D17CBA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vMerge w:val="continue"/>
            <w:shd w:val="clear" w:color="auto" w:fill="auto"/>
            <w:vAlign w:val="center"/>
          </w:tcPr>
          <w:p w14:paraId="5FF055D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1E39AC7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7B117C56">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是否能够根据政策文件的具体内容特点，有针对性、有重点地开展解读</w:t>
            </w:r>
          </w:p>
        </w:tc>
        <w:tc>
          <w:tcPr>
            <w:tcW w:w="1501" w:type="dxa"/>
            <w:vMerge w:val="continue"/>
            <w:shd w:val="clear" w:color="auto" w:fill="auto"/>
            <w:vAlign w:val="center"/>
          </w:tcPr>
          <w:p w14:paraId="25C5D59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D73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3" w:hRule="atLeast"/>
          <w:jc w:val="center"/>
        </w:trPr>
        <w:tc>
          <w:tcPr>
            <w:tcW w:w="1307" w:type="dxa"/>
            <w:vMerge w:val="continue"/>
            <w:shd w:val="clear" w:color="auto" w:fill="auto"/>
            <w:vAlign w:val="center"/>
          </w:tcPr>
          <w:p w14:paraId="79BA8DA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shd w:val="clear" w:color="auto" w:fill="auto"/>
            <w:vAlign w:val="center"/>
          </w:tcPr>
          <w:p w14:paraId="1D684ED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解读形式</w:t>
            </w:r>
          </w:p>
        </w:tc>
        <w:tc>
          <w:tcPr>
            <w:tcW w:w="1800" w:type="dxa"/>
            <w:shd w:val="clear" w:color="auto" w:fill="auto"/>
            <w:vAlign w:val="center"/>
          </w:tcPr>
          <w:p w14:paraId="4833DE9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多样化解读</w:t>
            </w:r>
          </w:p>
        </w:tc>
        <w:tc>
          <w:tcPr>
            <w:tcW w:w="7500" w:type="dxa"/>
            <w:shd w:val="clear" w:color="auto" w:fill="auto"/>
            <w:vAlign w:val="center"/>
          </w:tcPr>
          <w:p w14:paraId="5BDE79D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是否能够根据政策文件的重要程度、影响范围和受众特点，综合、合理运用图片图表、音频视频、H5动画、卡通动漫等形式开展解读</w:t>
            </w:r>
          </w:p>
        </w:tc>
        <w:tc>
          <w:tcPr>
            <w:tcW w:w="1501" w:type="dxa"/>
            <w:vMerge w:val="restart"/>
            <w:shd w:val="clear" w:color="auto" w:fill="auto"/>
            <w:vAlign w:val="center"/>
          </w:tcPr>
          <w:p w14:paraId="7538D8A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区级文件：办公室牵头，各职能部门、驻区单位配合；部门文件：各职能部门负责</w:t>
            </w:r>
          </w:p>
        </w:tc>
      </w:tr>
      <w:tr w14:paraId="4F43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restart"/>
            <w:shd w:val="clear" w:color="auto" w:fill="auto"/>
            <w:vAlign w:val="center"/>
          </w:tcPr>
          <w:p w14:paraId="7C976AA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政策解读</w:t>
            </w:r>
          </w:p>
        </w:tc>
        <w:tc>
          <w:tcPr>
            <w:tcW w:w="2486" w:type="dxa"/>
            <w:gridSpan w:val="2"/>
            <w:vMerge w:val="restart"/>
            <w:shd w:val="clear" w:color="auto" w:fill="auto"/>
            <w:vAlign w:val="center"/>
          </w:tcPr>
          <w:p w14:paraId="14CC856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解读形式</w:t>
            </w:r>
          </w:p>
        </w:tc>
        <w:tc>
          <w:tcPr>
            <w:tcW w:w="1800" w:type="dxa"/>
            <w:shd w:val="clear" w:color="auto" w:fill="auto"/>
            <w:vAlign w:val="center"/>
          </w:tcPr>
          <w:p w14:paraId="75AF734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多角度解读</w:t>
            </w:r>
          </w:p>
        </w:tc>
        <w:tc>
          <w:tcPr>
            <w:tcW w:w="7500" w:type="dxa"/>
            <w:shd w:val="clear" w:color="auto" w:fill="auto"/>
            <w:vAlign w:val="center"/>
          </w:tcPr>
          <w:p w14:paraId="642DD88A">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是否能够由政府主管部门和领导、专家、媒体等从不同角度对同一重要政策进行多次解读</w:t>
            </w:r>
          </w:p>
        </w:tc>
        <w:tc>
          <w:tcPr>
            <w:tcW w:w="1501" w:type="dxa"/>
            <w:vMerge w:val="continue"/>
            <w:shd w:val="clear" w:color="auto" w:fill="auto"/>
            <w:vAlign w:val="center"/>
          </w:tcPr>
          <w:p w14:paraId="07A7857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F00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7" w:hRule="atLeast"/>
          <w:jc w:val="center"/>
        </w:trPr>
        <w:tc>
          <w:tcPr>
            <w:tcW w:w="1307" w:type="dxa"/>
            <w:vMerge w:val="continue"/>
            <w:shd w:val="clear" w:color="auto" w:fill="auto"/>
            <w:vAlign w:val="center"/>
          </w:tcPr>
          <w:p w14:paraId="486AB33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vMerge w:val="continue"/>
            <w:shd w:val="clear" w:color="auto" w:fill="auto"/>
            <w:vAlign w:val="center"/>
          </w:tcPr>
          <w:p w14:paraId="3798FE5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0F763BE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政策咨询问答</w:t>
            </w:r>
          </w:p>
        </w:tc>
        <w:tc>
          <w:tcPr>
            <w:tcW w:w="7500" w:type="dxa"/>
            <w:shd w:val="clear" w:color="auto" w:fill="auto"/>
            <w:vAlign w:val="center"/>
          </w:tcPr>
          <w:p w14:paraId="6734292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是否在政府网站建立智能化政策问答平台</w:t>
            </w:r>
          </w:p>
        </w:tc>
        <w:tc>
          <w:tcPr>
            <w:tcW w:w="1501" w:type="dxa"/>
            <w:shd w:val="clear" w:color="auto" w:fill="auto"/>
            <w:vAlign w:val="center"/>
          </w:tcPr>
          <w:p w14:paraId="24B3FA8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办公室、数字城市部</w:t>
            </w:r>
          </w:p>
        </w:tc>
      </w:tr>
      <w:tr w14:paraId="30B6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jc w:val="center"/>
        </w:trPr>
        <w:tc>
          <w:tcPr>
            <w:tcW w:w="1307" w:type="dxa"/>
            <w:vMerge w:val="continue"/>
            <w:shd w:val="clear" w:color="auto" w:fill="auto"/>
            <w:vAlign w:val="center"/>
          </w:tcPr>
          <w:p w14:paraId="4B88F51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vMerge w:val="continue"/>
            <w:shd w:val="clear" w:color="auto" w:fill="auto"/>
            <w:vAlign w:val="center"/>
          </w:tcPr>
          <w:p w14:paraId="28A080C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3AF779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7C38DC0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是否能够围绕高频政策咨询事项，依托政策问答库，以视频、图解、文字等形式予以解答</w:t>
            </w:r>
          </w:p>
        </w:tc>
        <w:tc>
          <w:tcPr>
            <w:tcW w:w="1501" w:type="dxa"/>
            <w:vMerge w:val="restart"/>
            <w:shd w:val="clear" w:color="auto" w:fill="auto"/>
            <w:vAlign w:val="center"/>
          </w:tcPr>
          <w:p w14:paraId="303BC0E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办公室牵头，各职能部门配合</w:t>
            </w:r>
          </w:p>
        </w:tc>
      </w:tr>
      <w:tr w14:paraId="645A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07" w:type="dxa"/>
            <w:vMerge w:val="continue"/>
            <w:shd w:val="clear" w:color="auto" w:fill="auto"/>
            <w:vAlign w:val="center"/>
          </w:tcPr>
          <w:p w14:paraId="710A566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2486" w:type="dxa"/>
            <w:gridSpan w:val="2"/>
            <w:vMerge w:val="continue"/>
            <w:shd w:val="clear" w:color="auto" w:fill="auto"/>
            <w:vAlign w:val="center"/>
          </w:tcPr>
          <w:p w14:paraId="292430E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49CEB47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B566126">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是否在政策解读专栏、政策文件或解读材料公开页面明确电话解答、现场解答等政策咨询渠道信息</w:t>
            </w:r>
          </w:p>
        </w:tc>
        <w:tc>
          <w:tcPr>
            <w:tcW w:w="1501" w:type="dxa"/>
            <w:vMerge w:val="continue"/>
            <w:shd w:val="clear" w:color="auto" w:fill="auto"/>
            <w:vAlign w:val="center"/>
          </w:tcPr>
          <w:p w14:paraId="06AA5AB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6365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307" w:type="dxa"/>
            <w:vMerge w:val="restart"/>
            <w:shd w:val="clear" w:color="auto" w:fill="auto"/>
            <w:vAlign w:val="center"/>
          </w:tcPr>
          <w:p w14:paraId="79E37C1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公众参与</w:t>
            </w:r>
          </w:p>
        </w:tc>
        <w:tc>
          <w:tcPr>
            <w:tcW w:w="1222" w:type="dxa"/>
            <w:vMerge w:val="restart"/>
            <w:shd w:val="clear" w:color="auto" w:fill="auto"/>
            <w:vAlign w:val="center"/>
          </w:tcPr>
          <w:p w14:paraId="7742DCC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重大决策</w:t>
            </w:r>
          </w:p>
        </w:tc>
        <w:tc>
          <w:tcPr>
            <w:tcW w:w="1264" w:type="dxa"/>
            <w:vMerge w:val="restart"/>
            <w:shd w:val="clear" w:color="auto" w:fill="auto"/>
            <w:vAlign w:val="center"/>
          </w:tcPr>
          <w:p w14:paraId="015C899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重大行政决策</w:t>
            </w:r>
          </w:p>
        </w:tc>
        <w:tc>
          <w:tcPr>
            <w:tcW w:w="1800" w:type="dxa"/>
            <w:vMerge w:val="restart"/>
            <w:shd w:val="clear" w:color="auto" w:fill="auto"/>
            <w:vAlign w:val="center"/>
          </w:tcPr>
          <w:p w14:paraId="7A2FACC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目录编制发布</w:t>
            </w:r>
          </w:p>
        </w:tc>
        <w:tc>
          <w:tcPr>
            <w:tcW w:w="7500" w:type="dxa"/>
            <w:shd w:val="clear" w:color="auto" w:fill="auto"/>
            <w:vAlign w:val="center"/>
          </w:tcPr>
          <w:p w14:paraId="1025580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是否结合职责权限和本地实际，确定并发布本级决策事项目录，并根据实际情况调整</w:t>
            </w:r>
          </w:p>
        </w:tc>
        <w:tc>
          <w:tcPr>
            <w:tcW w:w="1501" w:type="dxa"/>
            <w:vMerge w:val="restart"/>
            <w:shd w:val="clear" w:color="auto" w:fill="auto"/>
            <w:vAlign w:val="center"/>
          </w:tcPr>
          <w:p w14:paraId="1FD4AEA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社会治理部牵头，产业促进部配合</w:t>
            </w:r>
          </w:p>
        </w:tc>
      </w:tr>
      <w:tr w14:paraId="3BBDB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73" w:hRule="atLeast"/>
          <w:jc w:val="center"/>
        </w:trPr>
        <w:tc>
          <w:tcPr>
            <w:tcW w:w="1307" w:type="dxa"/>
            <w:vMerge w:val="continue"/>
            <w:shd w:val="clear" w:color="auto" w:fill="auto"/>
            <w:vAlign w:val="center"/>
          </w:tcPr>
          <w:p w14:paraId="7B4D4C7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8C9612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639675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6B97CCC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2B702FF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是否明确决策事项名称、决策承办单位和完成时限等内容，并视情增加决策程序、决策依据等</w:t>
            </w:r>
          </w:p>
        </w:tc>
        <w:tc>
          <w:tcPr>
            <w:tcW w:w="1501" w:type="dxa"/>
            <w:vMerge w:val="continue"/>
            <w:shd w:val="clear" w:color="auto" w:fill="auto"/>
            <w:vAlign w:val="center"/>
          </w:tcPr>
          <w:p w14:paraId="2C34707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2447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restart"/>
            <w:shd w:val="clear" w:color="auto" w:fill="auto"/>
            <w:vAlign w:val="center"/>
          </w:tcPr>
          <w:p w14:paraId="15050A7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公众参与</w:t>
            </w:r>
          </w:p>
        </w:tc>
        <w:tc>
          <w:tcPr>
            <w:tcW w:w="1222" w:type="dxa"/>
            <w:vMerge w:val="restart"/>
            <w:shd w:val="clear" w:color="auto" w:fill="auto"/>
            <w:vAlign w:val="center"/>
          </w:tcPr>
          <w:p w14:paraId="01C5ABF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重大决策</w:t>
            </w:r>
          </w:p>
        </w:tc>
        <w:tc>
          <w:tcPr>
            <w:tcW w:w="1264" w:type="dxa"/>
            <w:vMerge w:val="restart"/>
            <w:shd w:val="clear" w:color="auto" w:fill="auto"/>
            <w:vAlign w:val="center"/>
          </w:tcPr>
          <w:p w14:paraId="70314F2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重大行政决策</w:t>
            </w:r>
          </w:p>
        </w:tc>
        <w:tc>
          <w:tcPr>
            <w:tcW w:w="1800" w:type="dxa"/>
            <w:vMerge w:val="restart"/>
            <w:shd w:val="clear" w:color="auto" w:fill="auto"/>
            <w:vAlign w:val="center"/>
          </w:tcPr>
          <w:p w14:paraId="40A73D6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归集展示</w:t>
            </w:r>
          </w:p>
        </w:tc>
        <w:tc>
          <w:tcPr>
            <w:tcW w:w="7500" w:type="dxa"/>
            <w:shd w:val="clear" w:color="auto" w:fill="auto"/>
            <w:vAlign w:val="center"/>
          </w:tcPr>
          <w:p w14:paraId="3E42D6C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是否以事项目录超链接方式归集展示决策草案全文、草案解读说明、公众意见建议收集和采纳情况、决策会议审定情况、决策执行情况等信息</w:t>
            </w:r>
          </w:p>
        </w:tc>
        <w:tc>
          <w:tcPr>
            <w:tcW w:w="1501" w:type="dxa"/>
            <w:vMerge w:val="restart"/>
            <w:shd w:val="clear" w:color="auto" w:fill="auto"/>
            <w:vAlign w:val="center"/>
          </w:tcPr>
          <w:p w14:paraId="034D545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产业促进部</w:t>
            </w:r>
          </w:p>
        </w:tc>
      </w:tr>
      <w:tr w14:paraId="7EAA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4" w:hRule="atLeast"/>
          <w:jc w:val="center"/>
        </w:trPr>
        <w:tc>
          <w:tcPr>
            <w:tcW w:w="1307" w:type="dxa"/>
            <w:vMerge w:val="continue"/>
            <w:shd w:val="clear" w:color="auto" w:fill="auto"/>
            <w:vAlign w:val="center"/>
          </w:tcPr>
          <w:p w14:paraId="4BD86C4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F1AD3D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5998F7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6E933C4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DA0509B">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是否视情公开决策事项的重大决策风险评估、专家论证、后评估等信息</w:t>
            </w:r>
          </w:p>
        </w:tc>
        <w:tc>
          <w:tcPr>
            <w:tcW w:w="1501" w:type="dxa"/>
            <w:vMerge w:val="continue"/>
            <w:shd w:val="clear" w:color="auto" w:fill="auto"/>
            <w:vAlign w:val="center"/>
          </w:tcPr>
          <w:p w14:paraId="1911048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AC6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5" w:hRule="atLeast"/>
          <w:jc w:val="center"/>
        </w:trPr>
        <w:tc>
          <w:tcPr>
            <w:tcW w:w="1307" w:type="dxa"/>
            <w:vMerge w:val="continue"/>
            <w:shd w:val="clear" w:color="auto" w:fill="auto"/>
            <w:vAlign w:val="center"/>
          </w:tcPr>
          <w:p w14:paraId="79822C2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A16D6B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5881859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重大决策预公开</w:t>
            </w:r>
          </w:p>
        </w:tc>
        <w:tc>
          <w:tcPr>
            <w:tcW w:w="1800" w:type="dxa"/>
            <w:vMerge w:val="restart"/>
            <w:shd w:val="clear" w:color="auto" w:fill="auto"/>
            <w:vAlign w:val="center"/>
          </w:tcPr>
          <w:p w14:paraId="48639E3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草案发布</w:t>
            </w:r>
          </w:p>
        </w:tc>
        <w:tc>
          <w:tcPr>
            <w:tcW w:w="7500" w:type="dxa"/>
            <w:shd w:val="clear" w:color="auto" w:fill="auto"/>
            <w:vAlign w:val="center"/>
          </w:tcPr>
          <w:p w14:paraId="260B6FB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是否建立意见征集、调查征集等决策预公开类栏目</w:t>
            </w:r>
          </w:p>
        </w:tc>
        <w:tc>
          <w:tcPr>
            <w:tcW w:w="1501" w:type="dxa"/>
            <w:shd w:val="clear" w:color="auto" w:fill="auto"/>
            <w:vAlign w:val="center"/>
          </w:tcPr>
          <w:p w14:paraId="6650ADB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办公室、数字城市部</w:t>
            </w:r>
          </w:p>
        </w:tc>
      </w:tr>
      <w:tr w14:paraId="0B49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07" w:type="dxa"/>
            <w:vMerge w:val="continue"/>
            <w:shd w:val="clear" w:color="auto" w:fill="auto"/>
            <w:vAlign w:val="center"/>
          </w:tcPr>
          <w:p w14:paraId="63D27FB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935612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538A76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55E6407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7CCC02B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是否发布决策草案全文、决策依据、解读说明等</w:t>
            </w:r>
          </w:p>
        </w:tc>
        <w:tc>
          <w:tcPr>
            <w:tcW w:w="1501" w:type="dxa"/>
            <w:vMerge w:val="restart"/>
            <w:shd w:val="clear" w:color="auto" w:fill="auto"/>
            <w:vAlign w:val="center"/>
          </w:tcPr>
          <w:p w14:paraId="1446F1C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涉及相关职能部门</w:t>
            </w:r>
          </w:p>
        </w:tc>
      </w:tr>
      <w:tr w14:paraId="1E45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4F19CCD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9C97F6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E90A53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1B81536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征集时限</w:t>
            </w:r>
          </w:p>
        </w:tc>
        <w:tc>
          <w:tcPr>
            <w:tcW w:w="7500" w:type="dxa"/>
            <w:shd w:val="clear" w:color="auto" w:fill="auto"/>
            <w:vAlign w:val="center"/>
          </w:tcPr>
          <w:p w14:paraId="3C7D606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重大行政决策草案公开征求意见的期限是否不少于30日（因情况紧急等原因需要缩短期限的，公开征求意见时应当予以说明）</w:t>
            </w:r>
          </w:p>
        </w:tc>
        <w:tc>
          <w:tcPr>
            <w:tcW w:w="1501" w:type="dxa"/>
            <w:vMerge w:val="continue"/>
            <w:shd w:val="clear" w:color="auto" w:fill="auto"/>
            <w:vAlign w:val="center"/>
          </w:tcPr>
          <w:p w14:paraId="278AF69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073F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44ED9C3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9C39C3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75460B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09AEC33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征集渠道</w:t>
            </w:r>
          </w:p>
        </w:tc>
        <w:tc>
          <w:tcPr>
            <w:tcW w:w="7500" w:type="dxa"/>
            <w:shd w:val="clear" w:color="auto" w:fill="auto"/>
            <w:vAlign w:val="center"/>
          </w:tcPr>
          <w:p w14:paraId="054F6AEA">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是否随决策草案公开征求意见的电子邮箱、互联网平台、联系电话、邮寄地址等意见征集渠道</w:t>
            </w:r>
          </w:p>
        </w:tc>
        <w:tc>
          <w:tcPr>
            <w:tcW w:w="1501" w:type="dxa"/>
            <w:vMerge w:val="continue"/>
            <w:shd w:val="clear" w:color="auto" w:fill="auto"/>
            <w:vAlign w:val="center"/>
          </w:tcPr>
          <w:p w14:paraId="715DE61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235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Merge w:val="continue"/>
            <w:shd w:val="clear" w:color="auto" w:fill="auto"/>
            <w:vAlign w:val="center"/>
          </w:tcPr>
          <w:p w14:paraId="31086CD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A57B6F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64A3A6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0493366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结果反馈</w:t>
            </w:r>
          </w:p>
        </w:tc>
        <w:tc>
          <w:tcPr>
            <w:tcW w:w="7500" w:type="dxa"/>
            <w:shd w:val="clear" w:color="auto" w:fill="auto"/>
            <w:vAlign w:val="center"/>
          </w:tcPr>
          <w:p w14:paraId="4EA69F6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是否及时反馈意见征集结果，并对主要采纳意见和不采纳意见理由进行说明</w:t>
            </w:r>
          </w:p>
        </w:tc>
        <w:tc>
          <w:tcPr>
            <w:tcW w:w="1501" w:type="dxa"/>
            <w:vMerge w:val="continue"/>
            <w:shd w:val="clear" w:color="auto" w:fill="auto"/>
            <w:vAlign w:val="center"/>
          </w:tcPr>
          <w:p w14:paraId="4129C24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45B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307" w:type="dxa"/>
            <w:vMerge w:val="continue"/>
            <w:shd w:val="clear" w:color="auto" w:fill="auto"/>
            <w:vAlign w:val="center"/>
          </w:tcPr>
          <w:p w14:paraId="4D99310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restart"/>
            <w:shd w:val="clear" w:color="auto" w:fill="auto"/>
            <w:vAlign w:val="center"/>
          </w:tcPr>
          <w:p w14:paraId="06E96C3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重大会议</w:t>
            </w:r>
          </w:p>
        </w:tc>
        <w:tc>
          <w:tcPr>
            <w:tcW w:w="1264" w:type="dxa"/>
            <w:vMerge w:val="restart"/>
            <w:shd w:val="clear" w:color="auto" w:fill="auto"/>
            <w:vAlign w:val="center"/>
          </w:tcPr>
          <w:p w14:paraId="26CA19B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lang w:val="en-US" w:eastAsia="zh-CN"/>
              </w:rPr>
              <w:t>管委会主任办公</w:t>
            </w:r>
            <w:r>
              <w:rPr>
                <w:rFonts w:hint="eastAsia" w:ascii="仿宋_GB2312" w:hAnsi="等线" w:eastAsia="仿宋_GB2312" w:cs="宋体"/>
                <w:color w:val="000000"/>
                <w:kern w:val="0"/>
                <w:sz w:val="24"/>
                <w:szCs w:val="21"/>
              </w:rPr>
              <w:t>会议</w:t>
            </w:r>
          </w:p>
        </w:tc>
        <w:tc>
          <w:tcPr>
            <w:tcW w:w="1800" w:type="dxa"/>
            <w:vMerge w:val="restart"/>
            <w:shd w:val="clear" w:color="auto" w:fill="auto"/>
            <w:vAlign w:val="center"/>
          </w:tcPr>
          <w:p w14:paraId="2617666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会议内容</w:t>
            </w:r>
          </w:p>
        </w:tc>
        <w:tc>
          <w:tcPr>
            <w:tcW w:w="7500" w:type="dxa"/>
            <w:shd w:val="clear" w:color="auto" w:fill="auto"/>
            <w:vAlign w:val="center"/>
          </w:tcPr>
          <w:p w14:paraId="3E959B81">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是否常态化公开</w:t>
            </w:r>
            <w:r>
              <w:rPr>
                <w:rFonts w:hint="eastAsia" w:ascii="仿宋_GB2312" w:hAnsi="等线" w:eastAsia="仿宋_GB2312" w:cs="宋体"/>
                <w:color w:val="000000"/>
                <w:kern w:val="0"/>
                <w:sz w:val="24"/>
                <w:szCs w:val="21"/>
                <w:lang w:val="en-US" w:eastAsia="zh-CN"/>
              </w:rPr>
              <w:t>管委会主任办公</w:t>
            </w:r>
            <w:r>
              <w:rPr>
                <w:rFonts w:hint="eastAsia" w:ascii="仿宋_GB2312" w:hAnsi="等线" w:eastAsia="仿宋_GB2312" w:cs="宋体"/>
                <w:color w:val="000000"/>
                <w:kern w:val="0"/>
                <w:sz w:val="24"/>
                <w:szCs w:val="21"/>
              </w:rPr>
              <w:t>会议召开情况和主要内容</w:t>
            </w:r>
          </w:p>
        </w:tc>
        <w:tc>
          <w:tcPr>
            <w:tcW w:w="1501" w:type="dxa"/>
            <w:vMerge w:val="restart"/>
            <w:shd w:val="clear" w:color="auto" w:fill="auto"/>
            <w:vAlign w:val="center"/>
          </w:tcPr>
          <w:p w14:paraId="7325BBC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办公室、宣传文化部牵头，各职能部门配合</w:t>
            </w:r>
          </w:p>
        </w:tc>
      </w:tr>
      <w:tr w14:paraId="4428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07" w:type="dxa"/>
            <w:vMerge w:val="continue"/>
            <w:shd w:val="clear" w:color="auto" w:fill="auto"/>
            <w:vAlign w:val="center"/>
          </w:tcPr>
          <w:p w14:paraId="5E4445C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BA5D21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10A20F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BCB31B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6F42572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是否提供图文、视频等形式的会议直播或回放</w:t>
            </w:r>
          </w:p>
        </w:tc>
        <w:tc>
          <w:tcPr>
            <w:tcW w:w="1501" w:type="dxa"/>
            <w:vMerge w:val="continue"/>
            <w:shd w:val="clear" w:color="auto" w:fill="auto"/>
            <w:vAlign w:val="center"/>
          </w:tcPr>
          <w:p w14:paraId="59E1E74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4A8E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7" w:hRule="atLeast"/>
          <w:jc w:val="center"/>
        </w:trPr>
        <w:tc>
          <w:tcPr>
            <w:tcW w:w="1307" w:type="dxa"/>
            <w:vMerge w:val="continue"/>
            <w:shd w:val="clear" w:color="auto" w:fill="auto"/>
            <w:vAlign w:val="center"/>
          </w:tcPr>
          <w:p w14:paraId="561982B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028604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234CCC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12A7DD6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会议解读</w:t>
            </w:r>
          </w:p>
        </w:tc>
        <w:tc>
          <w:tcPr>
            <w:tcW w:w="7500" w:type="dxa"/>
            <w:shd w:val="clear" w:color="auto" w:fill="auto"/>
            <w:vAlign w:val="center"/>
          </w:tcPr>
          <w:p w14:paraId="78C78C4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是否提供会议速读版或一图读懂等相关图解</w:t>
            </w:r>
          </w:p>
        </w:tc>
        <w:tc>
          <w:tcPr>
            <w:tcW w:w="1501" w:type="dxa"/>
            <w:vMerge w:val="continue"/>
            <w:shd w:val="clear" w:color="auto" w:fill="auto"/>
            <w:vAlign w:val="center"/>
          </w:tcPr>
          <w:p w14:paraId="460A22F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4603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307" w:type="dxa"/>
            <w:vMerge w:val="continue"/>
            <w:shd w:val="clear" w:color="auto" w:fill="auto"/>
            <w:vAlign w:val="center"/>
          </w:tcPr>
          <w:p w14:paraId="2034AAB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472C2A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F43F16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1D5C83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4B5C912A">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是否对相关议题开展解读或关联相关媒体解读内容</w:t>
            </w:r>
          </w:p>
        </w:tc>
        <w:tc>
          <w:tcPr>
            <w:tcW w:w="1501" w:type="dxa"/>
            <w:vMerge w:val="continue"/>
            <w:shd w:val="clear" w:color="auto" w:fill="auto"/>
            <w:vAlign w:val="center"/>
          </w:tcPr>
          <w:p w14:paraId="3A0049C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7B0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restart"/>
            <w:shd w:val="clear" w:color="auto" w:fill="auto"/>
            <w:vAlign w:val="center"/>
          </w:tcPr>
          <w:p w14:paraId="4E9C21C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公众参与</w:t>
            </w:r>
          </w:p>
        </w:tc>
        <w:tc>
          <w:tcPr>
            <w:tcW w:w="1222" w:type="dxa"/>
            <w:vMerge w:val="restart"/>
            <w:shd w:val="clear" w:color="auto" w:fill="auto"/>
            <w:vAlign w:val="center"/>
          </w:tcPr>
          <w:p w14:paraId="4B72633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建议提案办理</w:t>
            </w:r>
          </w:p>
        </w:tc>
        <w:tc>
          <w:tcPr>
            <w:tcW w:w="1264" w:type="dxa"/>
            <w:vMerge w:val="restart"/>
            <w:shd w:val="clear" w:color="auto" w:fill="auto"/>
            <w:vAlign w:val="center"/>
          </w:tcPr>
          <w:p w14:paraId="0911866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办理结果</w:t>
            </w:r>
          </w:p>
        </w:tc>
        <w:tc>
          <w:tcPr>
            <w:tcW w:w="1800" w:type="dxa"/>
            <w:vMerge w:val="restart"/>
            <w:shd w:val="clear" w:color="auto" w:fill="auto"/>
            <w:vAlign w:val="center"/>
          </w:tcPr>
          <w:p w14:paraId="3362592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栏目建设</w:t>
            </w:r>
          </w:p>
        </w:tc>
        <w:tc>
          <w:tcPr>
            <w:tcW w:w="7500" w:type="dxa"/>
            <w:shd w:val="clear" w:color="auto" w:fill="auto"/>
            <w:vAlign w:val="center"/>
          </w:tcPr>
          <w:p w14:paraId="6FA9CAC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是否设置建议提案办理结果公开专栏或目录</w:t>
            </w:r>
          </w:p>
        </w:tc>
        <w:tc>
          <w:tcPr>
            <w:tcW w:w="1501" w:type="dxa"/>
            <w:vMerge w:val="restart"/>
            <w:shd w:val="clear" w:color="auto" w:fill="auto"/>
            <w:vAlign w:val="center"/>
          </w:tcPr>
          <w:p w14:paraId="023A6A8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办公室（综合室、督查室）牵头，</w:t>
            </w:r>
          </w:p>
          <w:p w14:paraId="761FD32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相关部门（单位）配合</w:t>
            </w:r>
          </w:p>
        </w:tc>
      </w:tr>
      <w:tr w14:paraId="6903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4A25A89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F12256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B4CB0E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199CEB3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3AE784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建议提案办理结果公开专栏或目录是否设置查询检索功能</w:t>
            </w:r>
          </w:p>
        </w:tc>
        <w:tc>
          <w:tcPr>
            <w:tcW w:w="1501" w:type="dxa"/>
            <w:vMerge w:val="continue"/>
            <w:shd w:val="clear" w:color="auto" w:fill="auto"/>
            <w:vAlign w:val="center"/>
          </w:tcPr>
          <w:p w14:paraId="1F9A466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6046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3228712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B88649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D1B288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96BAB9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2FA68E91">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建议提案办理结果是否方便公众查询</w:t>
            </w:r>
          </w:p>
        </w:tc>
        <w:tc>
          <w:tcPr>
            <w:tcW w:w="1501" w:type="dxa"/>
            <w:vMerge w:val="continue"/>
            <w:shd w:val="clear" w:color="auto" w:fill="auto"/>
            <w:vAlign w:val="center"/>
          </w:tcPr>
          <w:p w14:paraId="5AD75F3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7B8F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181C203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5C3E22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FF9970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2369901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结果公开</w:t>
            </w:r>
          </w:p>
        </w:tc>
        <w:tc>
          <w:tcPr>
            <w:tcW w:w="7500" w:type="dxa"/>
            <w:shd w:val="clear" w:color="auto" w:fill="auto"/>
            <w:vAlign w:val="center"/>
          </w:tcPr>
          <w:p w14:paraId="511ACC7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及部门办理的人大代表建议和政协提案的复文全文或摘要</w:t>
            </w:r>
          </w:p>
        </w:tc>
        <w:tc>
          <w:tcPr>
            <w:tcW w:w="1501" w:type="dxa"/>
            <w:vMerge w:val="continue"/>
            <w:shd w:val="clear" w:color="auto" w:fill="auto"/>
            <w:vAlign w:val="center"/>
          </w:tcPr>
          <w:p w14:paraId="1FB7E47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F0D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2E6B42D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F2B745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47B9561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总体情况</w:t>
            </w:r>
          </w:p>
        </w:tc>
        <w:tc>
          <w:tcPr>
            <w:tcW w:w="1800" w:type="dxa"/>
            <w:shd w:val="clear" w:color="auto" w:fill="auto"/>
            <w:vAlign w:val="center"/>
          </w:tcPr>
          <w:p w14:paraId="6423461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发布情况</w:t>
            </w:r>
          </w:p>
        </w:tc>
        <w:tc>
          <w:tcPr>
            <w:tcW w:w="7500" w:type="dxa"/>
            <w:shd w:val="clear" w:color="auto" w:fill="auto"/>
            <w:vAlign w:val="center"/>
          </w:tcPr>
          <w:p w14:paraId="0C70A4D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是否发布202</w:t>
            </w:r>
            <w:r>
              <w:rPr>
                <w:rFonts w:hint="eastAsia" w:ascii="仿宋_GB2312" w:hAnsi="等线" w:eastAsia="仿宋_GB2312" w:cs="宋体"/>
                <w:color w:val="000000"/>
                <w:kern w:val="0"/>
                <w:sz w:val="24"/>
                <w:szCs w:val="21"/>
                <w:lang w:val="en-US" w:eastAsia="zh-CN"/>
              </w:rPr>
              <w:t>3</w:t>
            </w:r>
            <w:r>
              <w:rPr>
                <w:rFonts w:hint="eastAsia" w:ascii="仿宋_GB2312" w:hAnsi="等线" w:eastAsia="仿宋_GB2312" w:cs="宋体"/>
                <w:color w:val="000000"/>
                <w:kern w:val="0"/>
                <w:sz w:val="24"/>
                <w:szCs w:val="21"/>
              </w:rPr>
              <w:t>年度</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及部门建议提案办理总体情况</w:t>
            </w:r>
          </w:p>
        </w:tc>
        <w:tc>
          <w:tcPr>
            <w:tcW w:w="1501" w:type="dxa"/>
            <w:vMerge w:val="continue"/>
            <w:shd w:val="clear" w:color="auto" w:fill="auto"/>
            <w:vAlign w:val="center"/>
          </w:tcPr>
          <w:p w14:paraId="5B1FFAE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C35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jc w:val="center"/>
        </w:trPr>
        <w:tc>
          <w:tcPr>
            <w:tcW w:w="1307" w:type="dxa"/>
            <w:vMerge w:val="continue"/>
            <w:shd w:val="clear" w:color="auto" w:fill="auto"/>
            <w:vAlign w:val="center"/>
          </w:tcPr>
          <w:p w14:paraId="2B5DBA2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8864E4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40C4F5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34450DD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内容覆盖</w:t>
            </w:r>
          </w:p>
        </w:tc>
        <w:tc>
          <w:tcPr>
            <w:tcW w:w="7500" w:type="dxa"/>
            <w:shd w:val="clear" w:color="auto" w:fill="auto"/>
            <w:vAlign w:val="center"/>
          </w:tcPr>
          <w:p w14:paraId="74DBC76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总体情况中是否涵盖办理建议提案的数量、人大代表和政协委员意见建议吸收采纳情况等</w:t>
            </w:r>
          </w:p>
        </w:tc>
        <w:tc>
          <w:tcPr>
            <w:tcW w:w="1501" w:type="dxa"/>
            <w:vMerge w:val="continue"/>
            <w:shd w:val="clear" w:color="auto" w:fill="auto"/>
            <w:vAlign w:val="center"/>
          </w:tcPr>
          <w:p w14:paraId="5B88436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A75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0C1DAE2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restart"/>
            <w:shd w:val="clear" w:color="auto" w:fill="auto"/>
            <w:vAlign w:val="center"/>
          </w:tcPr>
          <w:p w14:paraId="1D8DD35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互动交流</w:t>
            </w:r>
          </w:p>
        </w:tc>
        <w:tc>
          <w:tcPr>
            <w:tcW w:w="1264" w:type="dxa"/>
            <w:vMerge w:val="restart"/>
            <w:shd w:val="clear" w:color="auto" w:fill="auto"/>
            <w:vAlign w:val="center"/>
          </w:tcPr>
          <w:p w14:paraId="6994982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平台功能</w:t>
            </w:r>
          </w:p>
        </w:tc>
        <w:tc>
          <w:tcPr>
            <w:tcW w:w="1800" w:type="dxa"/>
            <w:vMerge w:val="restart"/>
            <w:shd w:val="clear" w:color="auto" w:fill="auto"/>
            <w:vAlign w:val="center"/>
          </w:tcPr>
          <w:p w14:paraId="5CDB212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功能设置</w:t>
            </w:r>
          </w:p>
        </w:tc>
        <w:tc>
          <w:tcPr>
            <w:tcW w:w="7500" w:type="dxa"/>
            <w:shd w:val="clear" w:color="auto" w:fill="auto"/>
            <w:vAlign w:val="center"/>
          </w:tcPr>
          <w:p w14:paraId="56ECB977">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是否在门户网站搭建统一的互动交流平台</w:t>
            </w:r>
          </w:p>
        </w:tc>
        <w:tc>
          <w:tcPr>
            <w:tcW w:w="1501" w:type="dxa"/>
            <w:vMerge w:val="restart"/>
            <w:shd w:val="clear" w:color="auto" w:fill="auto"/>
            <w:vAlign w:val="center"/>
          </w:tcPr>
          <w:p w14:paraId="1E428DC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r>
              <w:rPr>
                <w:rFonts w:hint="eastAsia" w:ascii="仿宋_GB2312" w:hAnsi="等线" w:eastAsia="仿宋_GB2312" w:cs="宋体"/>
                <w:color w:val="000000"/>
                <w:kern w:val="0"/>
                <w:sz w:val="24"/>
                <w:szCs w:val="21"/>
                <w:lang w:val="en-US" w:eastAsia="zh-CN"/>
              </w:rPr>
              <w:t>数字城市部</w:t>
            </w:r>
          </w:p>
        </w:tc>
      </w:tr>
      <w:tr w14:paraId="6E1A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540B8C5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E8AED5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08CA44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06AAE2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552D1C69">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是否可实现留言评论、在线访谈、征集调查、咨询投诉等功能</w:t>
            </w:r>
          </w:p>
        </w:tc>
        <w:tc>
          <w:tcPr>
            <w:tcW w:w="1501" w:type="dxa"/>
            <w:vMerge w:val="continue"/>
            <w:shd w:val="clear" w:color="auto" w:fill="auto"/>
            <w:vAlign w:val="center"/>
          </w:tcPr>
          <w:p w14:paraId="4C719E8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002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6E7AB30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EFFF6A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43761C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5D44867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功能可用性</w:t>
            </w:r>
          </w:p>
        </w:tc>
        <w:tc>
          <w:tcPr>
            <w:tcW w:w="7500" w:type="dxa"/>
            <w:shd w:val="clear" w:color="auto" w:fill="auto"/>
            <w:vAlign w:val="center"/>
          </w:tcPr>
          <w:p w14:paraId="7F0EEE7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lang w:val="en-US" w:eastAsia="zh-CN"/>
              </w:rPr>
              <w:t>主任信箱</w:t>
            </w:r>
            <w:r>
              <w:rPr>
                <w:rFonts w:hint="eastAsia" w:ascii="仿宋_GB2312" w:hAnsi="等线" w:eastAsia="仿宋_GB2312" w:cs="宋体"/>
                <w:color w:val="000000"/>
                <w:kern w:val="0"/>
                <w:sz w:val="24"/>
                <w:szCs w:val="21"/>
              </w:rPr>
              <w:t>简单常见问题咨询答复的及时性情况、内容质量情况</w:t>
            </w:r>
          </w:p>
        </w:tc>
        <w:tc>
          <w:tcPr>
            <w:tcW w:w="1501" w:type="dxa"/>
            <w:vMerge w:val="restart"/>
            <w:shd w:val="clear" w:color="auto" w:fill="auto"/>
            <w:vAlign w:val="center"/>
          </w:tcPr>
          <w:p w14:paraId="7E62B1B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办公室（督查室）牵头，相关部门（单位）配合</w:t>
            </w:r>
          </w:p>
        </w:tc>
      </w:tr>
      <w:tr w14:paraId="03DF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jc w:val="center"/>
        </w:trPr>
        <w:tc>
          <w:tcPr>
            <w:tcW w:w="1307" w:type="dxa"/>
            <w:vMerge w:val="continue"/>
            <w:shd w:val="clear" w:color="auto" w:fill="auto"/>
            <w:vAlign w:val="center"/>
          </w:tcPr>
          <w:p w14:paraId="454B651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2519A5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14B9BE1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咨询建言</w:t>
            </w:r>
          </w:p>
        </w:tc>
        <w:tc>
          <w:tcPr>
            <w:tcW w:w="1800" w:type="dxa"/>
            <w:shd w:val="clear" w:color="auto" w:fill="auto"/>
            <w:vAlign w:val="center"/>
          </w:tcPr>
          <w:p w14:paraId="456018E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公开内容</w:t>
            </w:r>
          </w:p>
        </w:tc>
        <w:tc>
          <w:tcPr>
            <w:tcW w:w="7500" w:type="dxa"/>
            <w:shd w:val="clear" w:color="auto" w:fill="auto"/>
            <w:vAlign w:val="center"/>
          </w:tcPr>
          <w:p w14:paraId="782A8E3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w:t>
            </w:r>
            <w:r>
              <w:rPr>
                <w:rFonts w:hint="eastAsia" w:ascii="仿宋_GB2312" w:hAnsi="等线" w:eastAsia="仿宋_GB2312" w:cs="宋体"/>
                <w:color w:val="000000"/>
                <w:kern w:val="0"/>
                <w:sz w:val="24"/>
                <w:szCs w:val="21"/>
                <w:lang w:val="en-US" w:eastAsia="zh-CN"/>
              </w:rPr>
              <w:t>主任信箱的</w:t>
            </w:r>
            <w:r>
              <w:rPr>
                <w:rFonts w:hint="eastAsia" w:ascii="仿宋_GB2312" w:hAnsi="等线" w:eastAsia="仿宋_GB2312" w:cs="宋体"/>
                <w:color w:val="000000"/>
                <w:kern w:val="0"/>
                <w:sz w:val="24"/>
                <w:szCs w:val="21"/>
              </w:rPr>
              <w:t>留言时间、答复时间、答复单位、答复内容等内容</w:t>
            </w:r>
          </w:p>
        </w:tc>
        <w:tc>
          <w:tcPr>
            <w:tcW w:w="1501" w:type="dxa"/>
            <w:vMerge w:val="continue"/>
            <w:shd w:val="clear" w:color="auto" w:fill="auto"/>
            <w:vAlign w:val="center"/>
          </w:tcPr>
          <w:p w14:paraId="4D02222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4E13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4" w:hRule="atLeast"/>
          <w:jc w:val="center"/>
        </w:trPr>
        <w:tc>
          <w:tcPr>
            <w:tcW w:w="1307" w:type="dxa"/>
            <w:vMerge w:val="continue"/>
            <w:shd w:val="clear" w:color="auto" w:fill="auto"/>
            <w:vAlign w:val="center"/>
          </w:tcPr>
          <w:p w14:paraId="40D8EA8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2EDAD2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27534E8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4544457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统计数据</w:t>
            </w:r>
          </w:p>
        </w:tc>
        <w:tc>
          <w:tcPr>
            <w:tcW w:w="7500" w:type="dxa"/>
            <w:shd w:val="clear" w:color="auto" w:fill="auto"/>
            <w:vAlign w:val="center"/>
          </w:tcPr>
          <w:p w14:paraId="5517753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是否公开</w:t>
            </w:r>
            <w:r>
              <w:rPr>
                <w:rFonts w:hint="eastAsia" w:ascii="仿宋_GB2312" w:hAnsi="等线" w:eastAsia="仿宋_GB2312" w:cs="宋体"/>
                <w:color w:val="000000"/>
                <w:kern w:val="0"/>
                <w:sz w:val="24"/>
                <w:szCs w:val="21"/>
                <w:lang w:val="en-US" w:eastAsia="zh-CN"/>
              </w:rPr>
              <w:t>主任信箱</w:t>
            </w:r>
            <w:r>
              <w:rPr>
                <w:rFonts w:hint="eastAsia" w:ascii="仿宋_GB2312" w:hAnsi="等线" w:eastAsia="仿宋_GB2312" w:cs="宋体"/>
                <w:color w:val="000000"/>
                <w:kern w:val="0"/>
                <w:sz w:val="24"/>
                <w:szCs w:val="21"/>
              </w:rPr>
              <w:t>留言受理反馈情况统计数据</w:t>
            </w:r>
          </w:p>
        </w:tc>
        <w:tc>
          <w:tcPr>
            <w:tcW w:w="1501" w:type="dxa"/>
            <w:vMerge w:val="continue"/>
            <w:shd w:val="clear" w:color="auto" w:fill="auto"/>
            <w:vAlign w:val="center"/>
          </w:tcPr>
          <w:p w14:paraId="7B37227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EEA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307" w:type="dxa"/>
            <w:vMerge w:val="restart"/>
            <w:shd w:val="clear" w:color="auto" w:fill="auto"/>
            <w:vAlign w:val="center"/>
          </w:tcPr>
          <w:p w14:paraId="7DB9493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监督保障</w:t>
            </w:r>
          </w:p>
        </w:tc>
        <w:tc>
          <w:tcPr>
            <w:tcW w:w="1222" w:type="dxa"/>
            <w:vMerge w:val="restart"/>
            <w:shd w:val="clear" w:color="auto" w:fill="auto"/>
            <w:vAlign w:val="center"/>
          </w:tcPr>
          <w:p w14:paraId="7E6DFC1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平台建设</w:t>
            </w:r>
          </w:p>
        </w:tc>
        <w:tc>
          <w:tcPr>
            <w:tcW w:w="1264" w:type="dxa"/>
            <w:vMerge w:val="restart"/>
            <w:shd w:val="clear" w:color="auto" w:fill="auto"/>
            <w:vAlign w:val="center"/>
          </w:tcPr>
          <w:p w14:paraId="6EBFF1E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渠道覆盖</w:t>
            </w:r>
          </w:p>
        </w:tc>
        <w:tc>
          <w:tcPr>
            <w:tcW w:w="1800" w:type="dxa"/>
            <w:vMerge w:val="restart"/>
            <w:shd w:val="clear" w:color="auto" w:fill="auto"/>
            <w:vAlign w:val="center"/>
          </w:tcPr>
          <w:p w14:paraId="64617D2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渠道说明</w:t>
            </w:r>
          </w:p>
        </w:tc>
        <w:tc>
          <w:tcPr>
            <w:tcW w:w="7500" w:type="dxa"/>
            <w:shd w:val="clear" w:color="auto" w:fill="auto"/>
            <w:vAlign w:val="center"/>
          </w:tcPr>
          <w:p w14:paraId="77292812">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是否在政府信息公开指南中说明了</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对外主动公开政府信息的平台渠道情况</w:t>
            </w:r>
          </w:p>
        </w:tc>
        <w:tc>
          <w:tcPr>
            <w:tcW w:w="1501" w:type="dxa"/>
            <w:vMerge w:val="restart"/>
            <w:shd w:val="clear" w:color="auto" w:fill="auto"/>
            <w:vAlign w:val="center"/>
          </w:tcPr>
          <w:p w14:paraId="400ED05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w:t>
            </w:r>
          </w:p>
        </w:tc>
      </w:tr>
      <w:tr w14:paraId="1279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4091C95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868A3F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0457CF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0CB4F8E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5A2B55B">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政府信息公开指南公开的咨询电话的畅通性</w:t>
            </w:r>
          </w:p>
        </w:tc>
        <w:tc>
          <w:tcPr>
            <w:tcW w:w="1501" w:type="dxa"/>
            <w:vMerge w:val="continue"/>
            <w:shd w:val="clear" w:color="auto" w:fill="auto"/>
            <w:vAlign w:val="center"/>
          </w:tcPr>
          <w:p w14:paraId="46351C1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BB6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9" w:hRule="atLeast"/>
          <w:jc w:val="center"/>
        </w:trPr>
        <w:tc>
          <w:tcPr>
            <w:tcW w:w="1307" w:type="dxa"/>
            <w:vMerge w:val="continue"/>
            <w:shd w:val="clear" w:color="auto" w:fill="auto"/>
            <w:vAlign w:val="center"/>
          </w:tcPr>
          <w:p w14:paraId="77B7F4E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A90D2A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502027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0D8FB24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详细信息</w:t>
            </w:r>
          </w:p>
        </w:tc>
        <w:tc>
          <w:tcPr>
            <w:tcW w:w="7500" w:type="dxa"/>
            <w:shd w:val="clear" w:color="auto" w:fill="auto"/>
            <w:vAlign w:val="center"/>
          </w:tcPr>
          <w:p w14:paraId="24D31DB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线上渠道是否提供了网站或专栏网址、新媒体平台和账号名称、客户端下载链接</w:t>
            </w:r>
            <w:r>
              <w:rPr>
                <w:rFonts w:hint="eastAsia" w:ascii="仿宋_GB2312" w:hAnsi="等线" w:eastAsia="仿宋_GB2312" w:cs="宋体"/>
                <w:color w:val="000000"/>
                <w:kern w:val="0"/>
                <w:sz w:val="24"/>
                <w:szCs w:val="21"/>
                <w:lang w:val="en-US" w:eastAsia="zh-CN"/>
              </w:rPr>
              <w:t>等</w:t>
            </w:r>
            <w:r>
              <w:rPr>
                <w:rFonts w:hint="eastAsia" w:ascii="仿宋_GB2312" w:hAnsi="等线" w:eastAsia="仿宋_GB2312" w:cs="宋体"/>
                <w:color w:val="000000"/>
                <w:kern w:val="0"/>
                <w:sz w:val="24"/>
                <w:szCs w:val="21"/>
              </w:rPr>
              <w:t>详细信息</w:t>
            </w:r>
          </w:p>
        </w:tc>
        <w:tc>
          <w:tcPr>
            <w:tcW w:w="1501" w:type="dxa"/>
            <w:vMerge w:val="continue"/>
            <w:shd w:val="clear" w:color="auto" w:fill="auto"/>
            <w:vAlign w:val="center"/>
          </w:tcPr>
          <w:p w14:paraId="3749026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6A81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155BD62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4A1731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9D4A07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219B7CB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7D198391">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政府信息查阅场所是否提供了地理位置、联系方式、开放时间等</w:t>
            </w:r>
          </w:p>
        </w:tc>
        <w:tc>
          <w:tcPr>
            <w:tcW w:w="1501" w:type="dxa"/>
            <w:vMerge w:val="continue"/>
            <w:shd w:val="clear" w:color="auto" w:fill="auto"/>
            <w:vAlign w:val="center"/>
          </w:tcPr>
          <w:p w14:paraId="3AC0DF9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FAB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37D47BF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77DE11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357BCBF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政府网站</w:t>
            </w:r>
          </w:p>
        </w:tc>
        <w:tc>
          <w:tcPr>
            <w:tcW w:w="1800" w:type="dxa"/>
            <w:vMerge w:val="restart"/>
            <w:shd w:val="clear" w:color="auto" w:fill="auto"/>
            <w:vAlign w:val="center"/>
          </w:tcPr>
          <w:p w14:paraId="58E7CDA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建设管理</w:t>
            </w:r>
          </w:p>
        </w:tc>
        <w:tc>
          <w:tcPr>
            <w:tcW w:w="7500" w:type="dxa"/>
            <w:shd w:val="clear" w:color="auto" w:fill="auto"/>
            <w:vAlign w:val="center"/>
          </w:tcPr>
          <w:p w14:paraId="6637965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政府网站的IPV6的建设改造实现情况</w:t>
            </w:r>
          </w:p>
        </w:tc>
        <w:tc>
          <w:tcPr>
            <w:tcW w:w="1501" w:type="dxa"/>
            <w:vMerge w:val="restart"/>
            <w:shd w:val="clear" w:color="auto" w:fill="auto"/>
            <w:vAlign w:val="center"/>
          </w:tcPr>
          <w:p w14:paraId="1B99BEB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数字城市部</w:t>
            </w:r>
          </w:p>
        </w:tc>
      </w:tr>
      <w:tr w14:paraId="33E3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307" w:type="dxa"/>
            <w:vMerge w:val="continue"/>
            <w:shd w:val="clear" w:color="auto" w:fill="auto"/>
            <w:vAlign w:val="center"/>
          </w:tcPr>
          <w:p w14:paraId="7A2F7D8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CB9CDE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88EBE5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1A5C151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32190550">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政府网站主要页面、栏目的更新维护情况,以及是否存在安全、泄密事故、严重表述错误、断错链等问题</w:t>
            </w:r>
          </w:p>
        </w:tc>
        <w:tc>
          <w:tcPr>
            <w:tcW w:w="1501" w:type="dxa"/>
            <w:vMerge w:val="continue"/>
            <w:shd w:val="clear" w:color="auto" w:fill="auto"/>
            <w:vAlign w:val="center"/>
          </w:tcPr>
          <w:p w14:paraId="03446A1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023C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07" w:type="dxa"/>
            <w:vMerge w:val="continue"/>
            <w:shd w:val="clear" w:color="auto" w:fill="auto"/>
            <w:vAlign w:val="center"/>
          </w:tcPr>
          <w:p w14:paraId="2C60235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75685F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58614E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0F940AC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站内检索</w:t>
            </w:r>
          </w:p>
        </w:tc>
        <w:tc>
          <w:tcPr>
            <w:tcW w:w="7500" w:type="dxa"/>
            <w:shd w:val="clear" w:color="auto" w:fill="auto"/>
            <w:vAlign w:val="center"/>
          </w:tcPr>
          <w:p w14:paraId="358FA92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搜索结果的准确性、易用性、智能化情况</w:t>
            </w:r>
          </w:p>
        </w:tc>
        <w:tc>
          <w:tcPr>
            <w:tcW w:w="1501" w:type="dxa"/>
            <w:vMerge w:val="continue"/>
            <w:shd w:val="clear" w:color="auto" w:fill="auto"/>
            <w:vAlign w:val="center"/>
          </w:tcPr>
          <w:p w14:paraId="1C0130B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4340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0F22FD5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872C2B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8322E7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488151F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F8A63E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搜索结果是否实现分类展现</w:t>
            </w:r>
          </w:p>
        </w:tc>
        <w:tc>
          <w:tcPr>
            <w:tcW w:w="1501" w:type="dxa"/>
            <w:vMerge w:val="continue"/>
            <w:shd w:val="clear" w:color="auto" w:fill="auto"/>
            <w:vAlign w:val="center"/>
          </w:tcPr>
          <w:p w14:paraId="09A3F8A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6674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62A0F4D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13CA21C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8EB4C2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022F80D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377B48B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是否能根据搜索关键词聚合相关信息和服务功能，实现“搜索即服务”</w:t>
            </w:r>
          </w:p>
        </w:tc>
        <w:tc>
          <w:tcPr>
            <w:tcW w:w="1501" w:type="dxa"/>
            <w:vMerge w:val="continue"/>
            <w:shd w:val="clear" w:color="auto" w:fill="auto"/>
            <w:vAlign w:val="center"/>
          </w:tcPr>
          <w:p w14:paraId="5C82287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4239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229AF7E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1DE78F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426854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6CE4623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适老化和无障碍改造</w:t>
            </w:r>
          </w:p>
        </w:tc>
        <w:tc>
          <w:tcPr>
            <w:tcW w:w="7500" w:type="dxa"/>
            <w:shd w:val="clear" w:color="auto" w:fill="auto"/>
            <w:vAlign w:val="center"/>
          </w:tcPr>
          <w:p w14:paraId="16B15AC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府网站是否提供页面视图切换、配色、辅助线定位、页面尺寸调整，大字幕、大鼠标、大字间距、大界面、读屏等无障碍及适老化功能，以及在首页显著位置提供长者专区，集中提供老年人相关的信息和服务的情况</w:t>
            </w:r>
          </w:p>
        </w:tc>
        <w:tc>
          <w:tcPr>
            <w:tcW w:w="1501" w:type="dxa"/>
            <w:vMerge w:val="continue"/>
            <w:shd w:val="clear" w:color="auto" w:fill="auto"/>
            <w:vAlign w:val="center"/>
          </w:tcPr>
          <w:p w14:paraId="286913F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F4C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restart"/>
            <w:shd w:val="clear" w:color="auto" w:fill="auto"/>
            <w:vAlign w:val="center"/>
          </w:tcPr>
          <w:p w14:paraId="69DA90B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监督保障</w:t>
            </w:r>
          </w:p>
        </w:tc>
        <w:tc>
          <w:tcPr>
            <w:tcW w:w="1222" w:type="dxa"/>
            <w:vMerge w:val="restart"/>
            <w:shd w:val="clear" w:color="auto" w:fill="auto"/>
            <w:vAlign w:val="center"/>
          </w:tcPr>
          <w:p w14:paraId="1D35C39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lang w:val="en-US" w:eastAsia="zh-CN" w:bidi="ar-SA"/>
              </w:rPr>
            </w:pPr>
            <w:r>
              <w:rPr>
                <w:rFonts w:hint="eastAsia" w:ascii="仿宋_GB2312" w:hAnsi="等线" w:eastAsia="仿宋_GB2312" w:cs="宋体"/>
                <w:color w:val="000000"/>
                <w:kern w:val="0"/>
                <w:sz w:val="24"/>
                <w:szCs w:val="21"/>
              </w:rPr>
              <w:t>平台建设</w:t>
            </w:r>
          </w:p>
        </w:tc>
        <w:tc>
          <w:tcPr>
            <w:tcW w:w="1264" w:type="dxa"/>
            <w:vMerge w:val="restart"/>
            <w:shd w:val="clear" w:color="auto" w:fill="auto"/>
            <w:vAlign w:val="center"/>
          </w:tcPr>
          <w:p w14:paraId="2246432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政务</w:t>
            </w:r>
          </w:p>
          <w:p w14:paraId="0CBD360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新媒体</w:t>
            </w:r>
          </w:p>
        </w:tc>
        <w:tc>
          <w:tcPr>
            <w:tcW w:w="1800" w:type="dxa"/>
            <w:vMerge w:val="restart"/>
            <w:shd w:val="clear" w:color="auto" w:fill="auto"/>
            <w:vAlign w:val="center"/>
          </w:tcPr>
          <w:p w14:paraId="108E829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建设管理</w:t>
            </w:r>
          </w:p>
        </w:tc>
        <w:tc>
          <w:tcPr>
            <w:tcW w:w="7500" w:type="dxa"/>
            <w:shd w:val="clear" w:color="auto" w:fill="auto"/>
            <w:vAlign w:val="center"/>
          </w:tcPr>
          <w:p w14:paraId="35D5AD9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是否开通并在门户网站提供有效的链接</w:t>
            </w:r>
          </w:p>
        </w:tc>
        <w:tc>
          <w:tcPr>
            <w:tcW w:w="1501" w:type="dxa"/>
            <w:shd w:val="clear" w:color="auto" w:fill="auto"/>
            <w:vAlign w:val="center"/>
          </w:tcPr>
          <w:p w14:paraId="0754D47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数字城市部、宣传文化部</w:t>
            </w:r>
          </w:p>
        </w:tc>
      </w:tr>
      <w:tr w14:paraId="1133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8" w:hRule="atLeast"/>
          <w:jc w:val="center"/>
        </w:trPr>
        <w:tc>
          <w:tcPr>
            <w:tcW w:w="1307" w:type="dxa"/>
            <w:vMerge w:val="continue"/>
            <w:shd w:val="clear" w:color="auto" w:fill="auto"/>
            <w:vAlign w:val="center"/>
          </w:tcPr>
          <w:p w14:paraId="298DD98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D0A286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B84F3E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1E1F964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4460900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政务新媒体信息更新的及时性，以及是否存在安全、泄密事故、严重表述错误、断错链等问题</w:t>
            </w:r>
          </w:p>
        </w:tc>
        <w:tc>
          <w:tcPr>
            <w:tcW w:w="1501" w:type="dxa"/>
            <w:vMerge w:val="restart"/>
            <w:shd w:val="clear" w:color="auto" w:fill="auto"/>
            <w:vAlign w:val="center"/>
          </w:tcPr>
          <w:p w14:paraId="7FCFED5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3167454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各职能部门、直属单位，驻区各单位，各街道办事处</w:t>
            </w:r>
          </w:p>
          <w:p w14:paraId="30E05F7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7A13BD9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6E0F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jc w:val="center"/>
        </w:trPr>
        <w:tc>
          <w:tcPr>
            <w:tcW w:w="1307" w:type="dxa"/>
            <w:vMerge w:val="continue"/>
            <w:shd w:val="clear" w:color="auto" w:fill="auto"/>
            <w:vAlign w:val="center"/>
          </w:tcPr>
          <w:p w14:paraId="09A14B5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A85020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7D758D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7FAD50E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功能应用</w:t>
            </w:r>
          </w:p>
        </w:tc>
        <w:tc>
          <w:tcPr>
            <w:tcW w:w="7500" w:type="dxa"/>
            <w:shd w:val="clear" w:color="auto" w:fill="auto"/>
            <w:vAlign w:val="center"/>
          </w:tcPr>
          <w:p w14:paraId="5BBB77F6">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政务新媒体发布内容质量情况，是否围绕本职工作做好政策的发布、解读以及原创信息丰富程度</w:t>
            </w:r>
          </w:p>
        </w:tc>
        <w:tc>
          <w:tcPr>
            <w:tcW w:w="1501" w:type="dxa"/>
            <w:vMerge w:val="continue"/>
            <w:shd w:val="clear" w:color="auto" w:fill="auto"/>
            <w:vAlign w:val="center"/>
          </w:tcPr>
          <w:p w14:paraId="669DBED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786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0259A7D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ACC568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9288F7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0141687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6C70BBE0">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是否整合了政府网站入口、办事服务、便民查询和互动交流等功能</w:t>
            </w:r>
          </w:p>
        </w:tc>
        <w:tc>
          <w:tcPr>
            <w:tcW w:w="1501" w:type="dxa"/>
            <w:vMerge w:val="continue"/>
            <w:shd w:val="clear" w:color="auto" w:fill="auto"/>
            <w:vAlign w:val="center"/>
          </w:tcPr>
          <w:p w14:paraId="1FF1699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47DB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47DD25B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restart"/>
            <w:shd w:val="clear" w:color="auto" w:fill="auto"/>
            <w:vAlign w:val="center"/>
          </w:tcPr>
          <w:p w14:paraId="6D7BC88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机制建设</w:t>
            </w:r>
          </w:p>
        </w:tc>
        <w:tc>
          <w:tcPr>
            <w:tcW w:w="1264" w:type="dxa"/>
            <w:vMerge w:val="restart"/>
            <w:shd w:val="clear" w:color="auto" w:fill="auto"/>
            <w:vAlign w:val="center"/>
          </w:tcPr>
          <w:p w14:paraId="11F24B7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主动公开基本目录</w:t>
            </w:r>
          </w:p>
        </w:tc>
        <w:tc>
          <w:tcPr>
            <w:tcW w:w="1800" w:type="dxa"/>
            <w:shd w:val="clear" w:color="auto" w:fill="auto"/>
            <w:vAlign w:val="center"/>
          </w:tcPr>
          <w:p w14:paraId="3B49DFD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发布更新</w:t>
            </w:r>
          </w:p>
        </w:tc>
        <w:tc>
          <w:tcPr>
            <w:tcW w:w="7500" w:type="dxa"/>
            <w:shd w:val="clear" w:color="auto" w:fill="auto"/>
            <w:vAlign w:val="center"/>
          </w:tcPr>
          <w:p w14:paraId="1225E00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是否在政府网站公开主动公开基本目录，并动态调整更新</w:t>
            </w:r>
          </w:p>
        </w:tc>
        <w:tc>
          <w:tcPr>
            <w:tcW w:w="1501" w:type="dxa"/>
            <w:vMerge w:val="restart"/>
            <w:shd w:val="clear" w:color="auto" w:fill="auto"/>
            <w:vAlign w:val="center"/>
          </w:tcPr>
          <w:p w14:paraId="63151F3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各职能部门、驻区各单位、各街道办事处</w:t>
            </w:r>
          </w:p>
          <w:p w14:paraId="053C153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p>
        </w:tc>
      </w:tr>
      <w:tr w14:paraId="66B2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7A3D01F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7D8D5D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7E744A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079AAEE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内容规范性</w:t>
            </w:r>
          </w:p>
        </w:tc>
        <w:tc>
          <w:tcPr>
            <w:tcW w:w="7500" w:type="dxa"/>
            <w:shd w:val="clear" w:color="auto" w:fill="auto"/>
            <w:vAlign w:val="center"/>
          </w:tcPr>
          <w:p w14:paraId="0C9F97B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是否明确了各公开事项的主体、内容、时限、方式等</w:t>
            </w:r>
          </w:p>
        </w:tc>
        <w:tc>
          <w:tcPr>
            <w:tcW w:w="1501" w:type="dxa"/>
            <w:vMerge w:val="continue"/>
            <w:shd w:val="clear" w:color="auto" w:fill="auto"/>
            <w:vAlign w:val="center"/>
          </w:tcPr>
          <w:p w14:paraId="2BD4B6B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6FCC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786C3F6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21AF96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9474D0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0332DFC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237D1EC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主体、内容、时限、方式等要素是否准确</w:t>
            </w:r>
          </w:p>
        </w:tc>
        <w:tc>
          <w:tcPr>
            <w:tcW w:w="1501" w:type="dxa"/>
            <w:vMerge w:val="continue"/>
            <w:shd w:val="clear" w:color="auto" w:fill="auto"/>
            <w:vAlign w:val="center"/>
          </w:tcPr>
          <w:p w14:paraId="33383B1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2DE9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7" w:hRule="atLeast"/>
          <w:jc w:val="center"/>
        </w:trPr>
        <w:tc>
          <w:tcPr>
            <w:tcW w:w="1307" w:type="dxa"/>
            <w:vMerge w:val="continue"/>
            <w:shd w:val="clear" w:color="auto" w:fill="auto"/>
            <w:vAlign w:val="center"/>
          </w:tcPr>
          <w:p w14:paraId="154A386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7A98F9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restart"/>
            <w:shd w:val="clear" w:color="auto" w:fill="auto"/>
            <w:vAlign w:val="center"/>
          </w:tcPr>
          <w:p w14:paraId="4E9B49D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业务培训</w:t>
            </w:r>
          </w:p>
        </w:tc>
        <w:tc>
          <w:tcPr>
            <w:tcW w:w="1800" w:type="dxa"/>
            <w:shd w:val="clear" w:color="auto" w:fill="auto"/>
            <w:vAlign w:val="center"/>
          </w:tcPr>
          <w:p w14:paraId="6CB165D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培训计划</w:t>
            </w:r>
          </w:p>
        </w:tc>
        <w:tc>
          <w:tcPr>
            <w:tcW w:w="7500" w:type="dxa"/>
            <w:shd w:val="clear" w:color="auto" w:fill="auto"/>
            <w:vAlign w:val="center"/>
          </w:tcPr>
          <w:p w14:paraId="415D728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是否发布政务公开业务培训计划</w:t>
            </w:r>
          </w:p>
        </w:tc>
        <w:tc>
          <w:tcPr>
            <w:tcW w:w="1501" w:type="dxa"/>
            <w:vMerge w:val="restart"/>
            <w:shd w:val="clear" w:color="auto" w:fill="auto"/>
            <w:vAlign w:val="center"/>
          </w:tcPr>
          <w:p w14:paraId="20E2425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default"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办公室</w:t>
            </w:r>
          </w:p>
        </w:tc>
      </w:tr>
      <w:tr w14:paraId="0860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jc w:val="center"/>
        </w:trPr>
        <w:tc>
          <w:tcPr>
            <w:tcW w:w="1307" w:type="dxa"/>
            <w:vMerge w:val="continue"/>
            <w:shd w:val="clear" w:color="auto" w:fill="auto"/>
            <w:vAlign w:val="center"/>
          </w:tcPr>
          <w:p w14:paraId="279F914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CE015A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0A6D5AD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shd w:val="clear" w:color="auto" w:fill="auto"/>
            <w:vAlign w:val="center"/>
          </w:tcPr>
          <w:p w14:paraId="69B05D5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开展情况</w:t>
            </w:r>
          </w:p>
        </w:tc>
        <w:tc>
          <w:tcPr>
            <w:tcW w:w="7500" w:type="dxa"/>
            <w:shd w:val="clear" w:color="auto" w:fill="auto"/>
            <w:vAlign w:val="center"/>
          </w:tcPr>
          <w:p w14:paraId="643D08FD">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是否按照计划开展或参加政务公开业务培训</w:t>
            </w:r>
          </w:p>
        </w:tc>
        <w:tc>
          <w:tcPr>
            <w:tcW w:w="1501" w:type="dxa"/>
            <w:vMerge w:val="continue"/>
            <w:shd w:val="clear" w:color="auto" w:fill="auto"/>
            <w:vAlign w:val="center"/>
          </w:tcPr>
          <w:p w14:paraId="7529B9C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225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307" w:type="dxa"/>
            <w:vMerge w:val="restart"/>
            <w:shd w:val="clear" w:color="auto" w:fill="auto"/>
            <w:vAlign w:val="center"/>
          </w:tcPr>
          <w:p w14:paraId="784E176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监督保障</w:t>
            </w:r>
          </w:p>
        </w:tc>
        <w:tc>
          <w:tcPr>
            <w:tcW w:w="1222" w:type="dxa"/>
            <w:vMerge w:val="restart"/>
            <w:shd w:val="clear" w:color="auto" w:fill="auto"/>
            <w:vAlign w:val="center"/>
          </w:tcPr>
          <w:p w14:paraId="5F92C00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机制建设</w:t>
            </w:r>
          </w:p>
        </w:tc>
        <w:tc>
          <w:tcPr>
            <w:tcW w:w="1264" w:type="dxa"/>
            <w:vMerge w:val="restart"/>
            <w:shd w:val="clear" w:color="auto" w:fill="auto"/>
            <w:vAlign w:val="center"/>
          </w:tcPr>
          <w:p w14:paraId="0E90A51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政府信息公开工作年度报告</w:t>
            </w:r>
          </w:p>
        </w:tc>
        <w:tc>
          <w:tcPr>
            <w:tcW w:w="1800" w:type="dxa"/>
            <w:vMerge w:val="restart"/>
            <w:shd w:val="clear" w:color="auto" w:fill="auto"/>
            <w:vAlign w:val="center"/>
          </w:tcPr>
          <w:p w14:paraId="7752616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年报格式</w:t>
            </w:r>
          </w:p>
        </w:tc>
        <w:tc>
          <w:tcPr>
            <w:tcW w:w="7500" w:type="dxa"/>
            <w:shd w:val="clear" w:color="auto" w:fill="auto"/>
            <w:vAlign w:val="center"/>
          </w:tcPr>
          <w:p w14:paraId="2216E54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是否在政府信息公开专栏发布了</w:t>
            </w:r>
            <w:r>
              <w:rPr>
                <w:rFonts w:hint="eastAsia" w:ascii="仿宋_GB2312" w:hAnsi="等线" w:eastAsia="仿宋_GB2312" w:cs="宋体"/>
                <w:color w:val="000000"/>
                <w:kern w:val="0"/>
                <w:sz w:val="24"/>
                <w:szCs w:val="21"/>
                <w:lang w:eastAsia="zh-CN"/>
              </w:rPr>
              <w:t>管委会</w:t>
            </w:r>
            <w:r>
              <w:rPr>
                <w:rFonts w:hint="eastAsia" w:ascii="仿宋_GB2312" w:hAnsi="等线" w:eastAsia="仿宋_GB2312" w:cs="宋体"/>
                <w:color w:val="000000"/>
                <w:kern w:val="0"/>
                <w:sz w:val="24"/>
                <w:szCs w:val="21"/>
              </w:rPr>
              <w:t>和部门202</w:t>
            </w:r>
            <w:r>
              <w:rPr>
                <w:rFonts w:hint="eastAsia" w:ascii="仿宋_GB2312" w:hAnsi="等线" w:eastAsia="仿宋_GB2312" w:cs="宋体"/>
                <w:color w:val="000000"/>
                <w:kern w:val="0"/>
                <w:sz w:val="24"/>
                <w:szCs w:val="21"/>
                <w:lang w:val="en-US" w:eastAsia="zh-CN"/>
              </w:rPr>
              <w:t>3</w:t>
            </w:r>
            <w:r>
              <w:rPr>
                <w:rFonts w:hint="eastAsia" w:ascii="仿宋_GB2312" w:hAnsi="等线" w:eastAsia="仿宋_GB2312" w:cs="宋体"/>
                <w:color w:val="000000"/>
                <w:kern w:val="0"/>
                <w:sz w:val="24"/>
                <w:szCs w:val="21"/>
              </w:rPr>
              <w:t>年度政府信息公开工作年度报告</w:t>
            </w:r>
          </w:p>
        </w:tc>
        <w:tc>
          <w:tcPr>
            <w:tcW w:w="1501" w:type="dxa"/>
            <w:vMerge w:val="restart"/>
            <w:shd w:val="clear" w:color="auto" w:fill="auto"/>
            <w:vAlign w:val="center"/>
          </w:tcPr>
          <w:p w14:paraId="687C45A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61E2E7E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364BE8F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0E83EC5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7E1CEC5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r>
              <w:rPr>
                <w:rFonts w:hint="eastAsia" w:ascii="仿宋_GB2312" w:hAnsi="等线" w:eastAsia="仿宋_GB2312" w:cs="宋体"/>
                <w:color w:val="000000"/>
                <w:kern w:val="0"/>
                <w:sz w:val="24"/>
                <w:szCs w:val="21"/>
                <w:lang w:val="en-US" w:eastAsia="zh-CN"/>
              </w:rPr>
              <w:t>各职能部门、驻区各单位、各街道办事处</w:t>
            </w:r>
          </w:p>
          <w:p w14:paraId="1FCAF13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4D7356E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4B9C5F0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75F7E10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49B3C4C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p w14:paraId="5C32C37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val="en-US" w:eastAsia="zh-CN"/>
              </w:rPr>
            </w:pPr>
          </w:p>
        </w:tc>
      </w:tr>
      <w:tr w14:paraId="5BBF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jc w:val="center"/>
        </w:trPr>
        <w:tc>
          <w:tcPr>
            <w:tcW w:w="1307" w:type="dxa"/>
            <w:vMerge w:val="continue"/>
            <w:shd w:val="clear" w:color="auto" w:fill="auto"/>
            <w:vAlign w:val="center"/>
          </w:tcPr>
          <w:p w14:paraId="1864D1A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0E85E2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4EF64CFA">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CA83E2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37FE220">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年度报告格式是否符合《中华人民共和国政府信息公开工作年度报告格式》（国办公开办函〔2021〕30号）要求</w:t>
            </w:r>
          </w:p>
        </w:tc>
        <w:tc>
          <w:tcPr>
            <w:tcW w:w="1501" w:type="dxa"/>
            <w:vMerge w:val="continue"/>
            <w:shd w:val="clear" w:color="auto" w:fill="auto"/>
            <w:vAlign w:val="center"/>
          </w:tcPr>
          <w:p w14:paraId="4A063E7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AD4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307" w:type="dxa"/>
            <w:vMerge w:val="continue"/>
            <w:shd w:val="clear" w:color="auto" w:fill="auto"/>
            <w:vAlign w:val="center"/>
          </w:tcPr>
          <w:p w14:paraId="09C344A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AE2E9F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D67072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6895D61F">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1F4D0F38">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发布时间是否在202</w:t>
            </w:r>
            <w:r>
              <w:rPr>
                <w:rFonts w:hint="eastAsia" w:ascii="仿宋_GB2312" w:hAnsi="等线" w:eastAsia="仿宋_GB2312" w:cs="宋体"/>
                <w:color w:val="000000"/>
                <w:kern w:val="0"/>
                <w:sz w:val="24"/>
                <w:szCs w:val="21"/>
                <w:lang w:val="en-US" w:eastAsia="zh-CN"/>
              </w:rPr>
              <w:t>4</w:t>
            </w:r>
            <w:r>
              <w:rPr>
                <w:rFonts w:hint="eastAsia" w:ascii="仿宋_GB2312" w:hAnsi="等线" w:eastAsia="仿宋_GB2312" w:cs="宋体"/>
                <w:color w:val="000000"/>
                <w:kern w:val="0"/>
                <w:sz w:val="24"/>
                <w:szCs w:val="21"/>
              </w:rPr>
              <w:t>年2月20日前（部门和街道发布时间是否在202</w:t>
            </w:r>
            <w:r>
              <w:rPr>
                <w:rFonts w:hint="eastAsia" w:ascii="仿宋_GB2312" w:hAnsi="等线" w:eastAsia="仿宋_GB2312" w:cs="宋体"/>
                <w:color w:val="000000"/>
                <w:kern w:val="0"/>
                <w:sz w:val="24"/>
                <w:szCs w:val="21"/>
                <w:lang w:val="en-US" w:eastAsia="zh-CN"/>
              </w:rPr>
              <w:t>4</w:t>
            </w:r>
            <w:r>
              <w:rPr>
                <w:rFonts w:hint="eastAsia" w:ascii="仿宋_GB2312" w:hAnsi="等线" w:eastAsia="仿宋_GB2312" w:cs="宋体"/>
                <w:color w:val="000000"/>
                <w:kern w:val="0"/>
                <w:sz w:val="24"/>
                <w:szCs w:val="21"/>
              </w:rPr>
              <w:t>年1月31日前）</w:t>
            </w:r>
          </w:p>
        </w:tc>
        <w:tc>
          <w:tcPr>
            <w:tcW w:w="1501" w:type="dxa"/>
            <w:vMerge w:val="continue"/>
            <w:shd w:val="clear" w:color="auto" w:fill="auto"/>
            <w:vAlign w:val="center"/>
          </w:tcPr>
          <w:p w14:paraId="66A8F15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475D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307" w:type="dxa"/>
            <w:vMerge w:val="continue"/>
            <w:shd w:val="clear" w:color="auto" w:fill="auto"/>
            <w:vAlign w:val="center"/>
          </w:tcPr>
          <w:p w14:paraId="6862B0C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5D051CB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3E9127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restart"/>
            <w:shd w:val="clear" w:color="auto" w:fill="auto"/>
            <w:vAlign w:val="center"/>
          </w:tcPr>
          <w:p w14:paraId="5433F3D2">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报告内容</w:t>
            </w:r>
          </w:p>
        </w:tc>
        <w:tc>
          <w:tcPr>
            <w:tcW w:w="7500" w:type="dxa"/>
            <w:shd w:val="clear" w:color="auto" w:fill="auto"/>
            <w:vAlign w:val="center"/>
          </w:tcPr>
          <w:p w14:paraId="2D21B1D6">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是否说明报告本地区主动公开、依申请公开、政府信息管理、政府信息公开平台建设、监督保障等情况</w:t>
            </w:r>
          </w:p>
        </w:tc>
        <w:tc>
          <w:tcPr>
            <w:tcW w:w="1501" w:type="dxa"/>
            <w:vMerge w:val="continue"/>
            <w:shd w:val="clear" w:color="auto" w:fill="auto"/>
            <w:vAlign w:val="center"/>
          </w:tcPr>
          <w:p w14:paraId="7DB8A05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426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 w:hRule="atLeast"/>
          <w:jc w:val="center"/>
        </w:trPr>
        <w:tc>
          <w:tcPr>
            <w:tcW w:w="1307" w:type="dxa"/>
            <w:vMerge w:val="continue"/>
            <w:shd w:val="clear" w:color="auto" w:fill="auto"/>
            <w:vAlign w:val="center"/>
          </w:tcPr>
          <w:p w14:paraId="66EBAEC8">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298FEE7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3AD2AF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4E5654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6798D9D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主动公开政府信息情况数据统计表格填报是否规范、准确</w:t>
            </w:r>
          </w:p>
        </w:tc>
        <w:tc>
          <w:tcPr>
            <w:tcW w:w="1501" w:type="dxa"/>
            <w:vMerge w:val="continue"/>
            <w:shd w:val="clear" w:color="auto" w:fill="auto"/>
            <w:vAlign w:val="center"/>
          </w:tcPr>
          <w:p w14:paraId="79AB8075">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51EF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5" w:hRule="atLeast"/>
          <w:jc w:val="center"/>
        </w:trPr>
        <w:tc>
          <w:tcPr>
            <w:tcW w:w="1307" w:type="dxa"/>
            <w:vMerge w:val="continue"/>
            <w:shd w:val="clear" w:color="auto" w:fill="auto"/>
            <w:vAlign w:val="center"/>
          </w:tcPr>
          <w:p w14:paraId="2A7DD46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6CAE59A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1F1317A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7DC7682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32159A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收到和处理政府信息公开申请情况数据统计表格填报是否规范、准确</w:t>
            </w:r>
          </w:p>
        </w:tc>
        <w:tc>
          <w:tcPr>
            <w:tcW w:w="1501" w:type="dxa"/>
            <w:vMerge w:val="continue"/>
            <w:shd w:val="clear" w:color="auto" w:fill="auto"/>
            <w:vAlign w:val="center"/>
          </w:tcPr>
          <w:p w14:paraId="7153AD9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34FF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2AD2F13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AF7660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30A1E8E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66948B7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38CBFCF4">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因政府信息公开工作被申请行政复议、提起行政诉讼情况数据统计表格填报是否规范、准确</w:t>
            </w:r>
          </w:p>
        </w:tc>
        <w:tc>
          <w:tcPr>
            <w:tcW w:w="1501" w:type="dxa"/>
            <w:vMerge w:val="continue"/>
            <w:shd w:val="clear" w:color="auto" w:fill="auto"/>
            <w:vAlign w:val="center"/>
          </w:tcPr>
          <w:p w14:paraId="74B154E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603C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3" w:hRule="atLeast"/>
          <w:jc w:val="center"/>
        </w:trPr>
        <w:tc>
          <w:tcPr>
            <w:tcW w:w="1307" w:type="dxa"/>
            <w:vMerge w:val="continue"/>
            <w:shd w:val="clear" w:color="auto" w:fill="auto"/>
            <w:vAlign w:val="center"/>
          </w:tcPr>
          <w:p w14:paraId="4F01F9C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0D4C7C9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54E8B00D">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6F44ED0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0918DB1E">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本地区政府信息公开工作中存在的主要问题及改进情况</w:t>
            </w:r>
          </w:p>
        </w:tc>
        <w:tc>
          <w:tcPr>
            <w:tcW w:w="1501" w:type="dxa"/>
            <w:vMerge w:val="continue"/>
            <w:shd w:val="clear" w:color="auto" w:fill="auto"/>
            <w:vAlign w:val="center"/>
          </w:tcPr>
          <w:p w14:paraId="594F91F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6D2F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07" w:type="dxa"/>
            <w:vMerge w:val="continue"/>
            <w:shd w:val="clear" w:color="auto" w:fill="auto"/>
            <w:vAlign w:val="center"/>
          </w:tcPr>
          <w:p w14:paraId="555D4EC4">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322A8977">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8AE06B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3D3F545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7636D3EC">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本地区依据《政府信息公开信息处理费管理办法》收取信息处理费的情况</w:t>
            </w:r>
          </w:p>
        </w:tc>
        <w:tc>
          <w:tcPr>
            <w:tcW w:w="1501" w:type="dxa"/>
            <w:vMerge w:val="continue"/>
            <w:shd w:val="clear" w:color="auto" w:fill="auto"/>
            <w:vAlign w:val="center"/>
          </w:tcPr>
          <w:p w14:paraId="7B8AE08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1055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07" w:type="dxa"/>
            <w:vMerge w:val="continue"/>
            <w:shd w:val="clear" w:color="auto" w:fill="auto"/>
            <w:vAlign w:val="center"/>
          </w:tcPr>
          <w:p w14:paraId="1C324549">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4EE2CF4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72424C36">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2F9C86C1">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7971FB7F">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本地区落实上级年度政务公开工作要点情况</w:t>
            </w:r>
          </w:p>
        </w:tc>
        <w:tc>
          <w:tcPr>
            <w:tcW w:w="1501" w:type="dxa"/>
            <w:vMerge w:val="continue"/>
            <w:shd w:val="clear" w:color="auto" w:fill="auto"/>
            <w:vAlign w:val="center"/>
          </w:tcPr>
          <w:p w14:paraId="7BB96EC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r w14:paraId="78DB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3" w:hRule="atLeast"/>
          <w:jc w:val="center"/>
        </w:trPr>
        <w:tc>
          <w:tcPr>
            <w:tcW w:w="1307" w:type="dxa"/>
            <w:vMerge w:val="continue"/>
            <w:shd w:val="clear" w:color="auto" w:fill="auto"/>
            <w:vAlign w:val="center"/>
          </w:tcPr>
          <w:p w14:paraId="384BEEBE">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22" w:type="dxa"/>
            <w:vMerge w:val="continue"/>
            <w:shd w:val="clear" w:color="auto" w:fill="auto"/>
            <w:vAlign w:val="center"/>
          </w:tcPr>
          <w:p w14:paraId="776F36BC">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264" w:type="dxa"/>
            <w:vMerge w:val="continue"/>
            <w:shd w:val="clear" w:color="auto" w:fill="auto"/>
            <w:vAlign w:val="center"/>
          </w:tcPr>
          <w:p w14:paraId="6BA15760">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1800" w:type="dxa"/>
            <w:vMerge w:val="continue"/>
            <w:shd w:val="clear" w:color="auto" w:fill="auto"/>
            <w:vAlign w:val="center"/>
          </w:tcPr>
          <w:p w14:paraId="019D397B">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ascii="仿宋_GB2312" w:hAnsi="等线" w:eastAsia="仿宋_GB2312" w:cs="宋体"/>
                <w:color w:val="000000"/>
                <w:kern w:val="0"/>
                <w:sz w:val="24"/>
                <w:szCs w:val="21"/>
              </w:rPr>
            </w:pPr>
          </w:p>
        </w:tc>
        <w:tc>
          <w:tcPr>
            <w:tcW w:w="7500" w:type="dxa"/>
            <w:shd w:val="clear" w:color="auto" w:fill="auto"/>
            <w:vAlign w:val="center"/>
          </w:tcPr>
          <w:p w14:paraId="7661FB95">
            <w:pPr>
              <w:keepNext w:val="0"/>
              <w:keepLines w:val="0"/>
              <w:pageBreakBefore w:val="0"/>
              <w:widowControl/>
              <w:kinsoku w:val="0"/>
              <w:wordWrap/>
              <w:overflowPunct/>
              <w:topLinePunct w:val="0"/>
              <w:autoSpaceDE w:val="0"/>
              <w:autoSpaceDN w:val="0"/>
              <w:bidi w:val="0"/>
              <w:adjustRightInd w:val="0"/>
              <w:snapToGrid w:val="0"/>
              <w:spacing w:line="240" w:lineRule="atLeast"/>
              <w:jc w:val="left"/>
              <w:textAlignment w:val="baseline"/>
              <w:rPr>
                <w:rFonts w:ascii="仿宋_GB2312" w:hAnsi="等线" w:eastAsia="仿宋_GB2312" w:cs="宋体"/>
                <w:color w:val="000000"/>
                <w:kern w:val="0"/>
                <w:sz w:val="24"/>
                <w:szCs w:val="21"/>
              </w:rPr>
            </w:pPr>
            <w:r>
              <w:rPr>
                <w:rFonts w:hint="eastAsia" w:ascii="仿宋_GB2312" w:hAnsi="等线" w:eastAsia="仿宋_GB2312" w:cs="宋体"/>
                <w:color w:val="000000"/>
                <w:kern w:val="0"/>
                <w:sz w:val="24"/>
                <w:szCs w:val="21"/>
              </w:rPr>
              <w:t>本地区人大代表建议和政协提案办理结果公开情况</w:t>
            </w:r>
          </w:p>
        </w:tc>
        <w:tc>
          <w:tcPr>
            <w:tcW w:w="1501" w:type="dxa"/>
            <w:vMerge w:val="continue"/>
            <w:shd w:val="clear" w:color="auto" w:fill="auto"/>
            <w:vAlign w:val="center"/>
          </w:tcPr>
          <w:p w14:paraId="1E8BD753">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szCs w:val="21"/>
                <w:lang w:eastAsia="zh-CN"/>
              </w:rPr>
            </w:pPr>
          </w:p>
        </w:tc>
      </w:tr>
    </w:tbl>
    <w:p w14:paraId="72E55738">
      <w:pPr>
        <w:keepNext w:val="0"/>
        <w:keepLines w:val="0"/>
        <w:pageBreakBefore w:val="0"/>
        <w:widowControl/>
        <w:shd w:val="clear"/>
        <w:kinsoku w:val="0"/>
        <w:wordWrap/>
        <w:overflowPunct/>
        <w:topLinePunct w:val="0"/>
        <w:autoSpaceDE w:val="0"/>
        <w:autoSpaceDN w:val="0"/>
        <w:bidi w:val="0"/>
        <w:adjustRightInd w:val="0"/>
        <w:snapToGrid w:val="0"/>
        <w:spacing w:line="240" w:lineRule="atLeast"/>
        <w:jc w:val="center"/>
        <w:textAlignment w:val="baseline"/>
        <w:rPr>
          <w:rFonts w:hint="eastAsia" w:ascii="仿宋_GB2312" w:hAnsi="等线" w:eastAsia="仿宋_GB2312" w:cs="宋体"/>
          <w:color w:val="000000"/>
          <w:kern w:val="0"/>
          <w:sz w:val="24"/>
        </w:rPr>
      </w:pPr>
    </w:p>
    <w:p w14:paraId="60172501">
      <w:pPr>
        <w:pStyle w:val="9"/>
        <w:rPr>
          <w:rFonts w:hint="eastAsia"/>
        </w:rPr>
        <w:sectPr>
          <w:headerReference r:id="rId6" w:type="first"/>
          <w:footerReference r:id="rId9" w:type="first"/>
          <w:headerReference r:id="rId4" w:type="default"/>
          <w:footerReference r:id="rId7" w:type="default"/>
          <w:headerReference r:id="rId5" w:type="even"/>
          <w:footerReference r:id="rId8" w:type="even"/>
          <w:pgSz w:w="16838" w:h="11906" w:orient="landscape"/>
          <w:pgMar w:top="2098" w:right="1474" w:bottom="1984" w:left="1587" w:header="851" w:footer="850" w:gutter="0"/>
          <w:pgBorders>
            <w:top w:val="none" w:sz="0" w:space="0"/>
            <w:left w:val="none" w:sz="0" w:space="0"/>
            <w:bottom w:val="none" w:sz="0" w:space="0"/>
            <w:right w:val="none" w:sz="0" w:space="0"/>
          </w:pgBorders>
          <w:pgNumType w:fmt="decimal" w:start="10"/>
          <w:cols w:space="0" w:num="1"/>
          <w:rtlGutter w:val="0"/>
          <w:docGrid w:type="lines" w:linePitch="322" w:charSpace="0"/>
        </w:sectPr>
      </w:pPr>
    </w:p>
    <w:p w14:paraId="0549AAC0">
      <w:pPr>
        <w:spacing w:line="620" w:lineRule="exact"/>
        <w:jc w:val="left"/>
        <w:rPr>
          <w:rFonts w:hint="eastAsia" w:ascii="黑体" w:hAnsi="黑体" w:eastAsia="黑体" w:cs="黑体"/>
          <w:i w:val="0"/>
          <w:caps w:val="0"/>
          <w:color w:val="auto"/>
          <w:spacing w:val="0"/>
          <w:kern w:val="0"/>
          <w:sz w:val="32"/>
          <w:szCs w:val="32"/>
          <w:shd w:val="clear" w:fill="FFFFFF"/>
          <w:lang w:val="en-US" w:eastAsia="zh-CN" w:bidi="ar"/>
        </w:rPr>
      </w:pPr>
      <w:bookmarkStart w:id="0" w:name="_GoBack"/>
      <w:bookmarkEnd w:id="0"/>
    </w:p>
    <w:sectPr>
      <w:headerReference r:id="rId10" w:type="default"/>
      <w:footerReference r:id="rId11"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2C9D45-4D96-4EA9-BD2C-B681B71713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2CB0BAF-30E4-4D1E-A5A0-0EFE2D6A5279}"/>
  </w:font>
  <w:font w:name="楷体_GB2312">
    <w:panose1 w:val="02010609030101010101"/>
    <w:charset w:val="86"/>
    <w:family w:val="auto"/>
    <w:pitch w:val="default"/>
    <w:sig w:usb0="00000001" w:usb1="080E0000" w:usb2="00000000" w:usb3="00000000" w:csb0="00040000" w:csb1="00000000"/>
    <w:embedRegular r:id="rId3" w:fontKey="{DA152063-A527-463C-A414-BABDEBAFAC87}"/>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4" w:fontKey="{EBAA5D27-9426-4B1E-9113-138EE2E31ADF}"/>
  </w:font>
  <w:font w:name="方正小标宋简体">
    <w:panose1 w:val="03000509000000000000"/>
    <w:charset w:val="86"/>
    <w:family w:val="auto"/>
    <w:pitch w:val="default"/>
    <w:sig w:usb0="00000001" w:usb1="080E0000" w:usb2="00000000" w:usb3="00000000" w:csb0="00040000" w:csb1="00000000"/>
    <w:embedRegular r:id="rId5" w:fontKey="{A1BFAD57-FE16-4043-B2BF-B3D211EA2B73}"/>
  </w:font>
  <w:font w:name="方正小标宋_GBK">
    <w:panose1 w:val="02000000000000000000"/>
    <w:charset w:val="86"/>
    <w:family w:val="script"/>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embedRegular r:id="rId6" w:fontKey="{01955D80-206C-4658-95BB-2FED78F0E4E7}"/>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9308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0169D">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6F0169D">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DFB73">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8A35F">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9</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4A8A35F">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9</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80FA3">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18BA0">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609A3">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53395">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9</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6853395">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9</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277D3">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2"/>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80E9F">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2"/>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B05AC">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2"/>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A478A">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Calibri" w:hAnsi="Calibri" w:eastAsia="宋体" w:cs="Times New Roman"/>
        <w:kern w:val="2"/>
        <w:sz w:val="18"/>
        <w:szCs w:val="22"/>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DRmYmUyOTMxYTYxYTRiZmI0OGFlOTY0MmM4NmYifQ=="/>
  </w:docVars>
  <w:rsids>
    <w:rsidRoot w:val="6F6053C9"/>
    <w:rsid w:val="03C31B42"/>
    <w:rsid w:val="08B461E2"/>
    <w:rsid w:val="09201CCE"/>
    <w:rsid w:val="09DA28B3"/>
    <w:rsid w:val="0A9970A5"/>
    <w:rsid w:val="0AD452EA"/>
    <w:rsid w:val="119733B3"/>
    <w:rsid w:val="143C6D8F"/>
    <w:rsid w:val="14F32FB9"/>
    <w:rsid w:val="1558097B"/>
    <w:rsid w:val="158E0F88"/>
    <w:rsid w:val="179B273C"/>
    <w:rsid w:val="18F37407"/>
    <w:rsid w:val="196A494E"/>
    <w:rsid w:val="1C2B330F"/>
    <w:rsid w:val="1D0D3BB9"/>
    <w:rsid w:val="1E6F1C79"/>
    <w:rsid w:val="236D431B"/>
    <w:rsid w:val="260B2217"/>
    <w:rsid w:val="26521602"/>
    <w:rsid w:val="26B47E36"/>
    <w:rsid w:val="27F14232"/>
    <w:rsid w:val="28C75DE2"/>
    <w:rsid w:val="2AB35176"/>
    <w:rsid w:val="2B1E0CAF"/>
    <w:rsid w:val="2C675170"/>
    <w:rsid w:val="2D837FEC"/>
    <w:rsid w:val="2D890116"/>
    <w:rsid w:val="2DEA79E8"/>
    <w:rsid w:val="2F7C41F6"/>
    <w:rsid w:val="307C1C92"/>
    <w:rsid w:val="30F745DC"/>
    <w:rsid w:val="341D0311"/>
    <w:rsid w:val="35795A17"/>
    <w:rsid w:val="36311790"/>
    <w:rsid w:val="37890718"/>
    <w:rsid w:val="39BF75E9"/>
    <w:rsid w:val="3A4A23D9"/>
    <w:rsid w:val="45CA3214"/>
    <w:rsid w:val="45E52F0F"/>
    <w:rsid w:val="4AC26B09"/>
    <w:rsid w:val="4DF16B57"/>
    <w:rsid w:val="4EA64F9D"/>
    <w:rsid w:val="52EF73C4"/>
    <w:rsid w:val="54FC4376"/>
    <w:rsid w:val="596B428A"/>
    <w:rsid w:val="5C0D6D88"/>
    <w:rsid w:val="5C9443DE"/>
    <w:rsid w:val="5CDB3A5A"/>
    <w:rsid w:val="5FFC2347"/>
    <w:rsid w:val="60051A8A"/>
    <w:rsid w:val="65C46EB0"/>
    <w:rsid w:val="686B70CE"/>
    <w:rsid w:val="6BCA30AA"/>
    <w:rsid w:val="6C5C6966"/>
    <w:rsid w:val="6F6053C9"/>
    <w:rsid w:val="6FB57D45"/>
    <w:rsid w:val="70B94B47"/>
    <w:rsid w:val="75452AD2"/>
    <w:rsid w:val="75841DBA"/>
    <w:rsid w:val="78762B5D"/>
    <w:rsid w:val="7B62074E"/>
    <w:rsid w:val="7C0D486D"/>
    <w:rsid w:val="7C133EBD"/>
    <w:rsid w:val="7DA84429"/>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4">
    <w:name w:val="Body Text Indent"/>
    <w:unhideWhenUsed/>
    <w:qFormat/>
    <w:uiPriority w:val="99"/>
    <w:pPr>
      <w:widowControl w:val="0"/>
      <w:spacing w:after="120"/>
      <w:ind w:left="420" w:leftChars="200"/>
      <w:jc w:val="both"/>
    </w:pPr>
    <w:rPr>
      <w:rFonts w:eastAsia="宋体" w:asciiTheme="minorHAnsi" w:hAnsiTheme="minorHAnsi" w:cstheme="minorBidi"/>
      <w:kern w:val="2"/>
      <w:sz w:val="21"/>
      <w:szCs w:val="21"/>
      <w:lang w:val="en-US" w:eastAsia="zh-CN" w:bidi="ar-SA"/>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qFormat/>
    <w:uiPriority w:val="0"/>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paragraph" w:styleId="9">
    <w:name w:val="Body Text First Indent 2"/>
    <w:next w:val="1"/>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12073</Words>
  <Characters>12148</Characters>
  <Lines>0</Lines>
  <Paragraphs>0</Paragraphs>
  <TotalTime>1</TotalTime>
  <ScaleCrop>false</ScaleCrop>
  <LinksUpToDate>false</LinksUpToDate>
  <CharactersWithSpaces>12167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Reus</cp:lastModifiedBy>
  <cp:lastPrinted>2024-09-02T01:50:21Z</cp:lastPrinted>
  <dcterms:modified xsi:type="dcterms:W3CDTF">2024-09-02T01:51:42Z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5E02BE804B364061818B48413E3E9F4E_13</vt:lpwstr>
  </property>
</Properties>
</file>