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文星标宋" w:eastAsia="方正小标宋简体"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w w:val="10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w w:val="100"/>
          <w:kern w:val="0"/>
          <w:sz w:val="44"/>
          <w:szCs w:val="44"/>
          <w:shd w:val="clear" w:color="auto" w:fill="FFFFFF"/>
          <w:lang w:val="en-US" w:eastAsia="zh-CN" w:bidi="ar-SA"/>
        </w:rPr>
        <w:t>济南新旧动能转换起步区管理委员会</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w w:val="100"/>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w w:val="100"/>
          <w:kern w:val="0"/>
          <w:sz w:val="44"/>
          <w:szCs w:val="44"/>
          <w:shd w:val="clear" w:color="auto" w:fill="FFFFFF"/>
          <w:lang w:val="en-US" w:eastAsia="zh-CN" w:bidi="ar-SA"/>
        </w:rPr>
        <w:t>关于公布第二批区级非物质文化遗产代表性项目名录的通知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各街道办事处，各职能部门、直属单位，驻区各单位：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济南新旧动能转换起步区管理委员会批准宣传文化部确定的第二批区级非物质文化遗产的代表性项目名录（共计6项），现予公布。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各街道办事处及各职能部门要按照《中华人民共和国非物质文化遗产法》《中共中央办公厅国务院办公厅关于进一步加强非物质文化遗产保护工作的意见》《山东省非物质文化遗产条例》和济南市关于做好非物质文化遗产保护工作有关要求，坚持以社会主义核心价值观为引领，贯彻“保护为主，抢救第一，合理利用，传承发展”的工作方针，扎实做好非物质文化遗产代表性项目的保护和传承工作，切实提升非物质文化遗产系统性保护水平，为推进起步区高质量发展作出新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附件：</w:t>
      </w:r>
      <w:r>
        <w:rPr>
          <w:rFonts w:hint="eastAsia" w:ascii="仿宋_GB2312" w:hAnsi="仿宋_GB2312" w:eastAsia="仿宋_GB2312" w:cs="仿宋_GB2312"/>
          <w:spacing w:val="-6"/>
          <w:sz w:val="32"/>
          <w:lang w:val="en-US" w:eastAsia="zh-CN"/>
        </w:rPr>
        <w:t>济南新旧动能转换起步区第二批区级非物质文化遗产</w:t>
      </w:r>
      <w:bookmarkStart w:id="0" w:name="_GoBack"/>
      <w:bookmarkEnd w:id="0"/>
      <w:r>
        <w:rPr>
          <w:rFonts w:hint="eastAsia" w:ascii="仿宋_GB2312" w:hAnsi="仿宋_GB2312" w:eastAsia="仿宋_GB2312" w:cs="仿宋_GB2312"/>
          <w:spacing w:val="0"/>
          <w:sz w:val="32"/>
          <w:lang w:val="en-US" w:eastAsia="zh-CN"/>
        </w:rPr>
        <w:t>代表性项目名录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0"/>
          <w:kern w:val="0"/>
          <w:sz w:val="44"/>
          <w:szCs w:val="44"/>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 xml:space="preserve">济南新旧动能转换起步区管理委员会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 xml:space="preserve">2024年1月12日          </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_GB2312" w:hAnsi="仿宋_GB2312" w:eastAsia="仿宋_GB2312" w:cs="仿宋_GB2312"/>
          <w:spacing w:val="6"/>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（联系电话：起步区宣传文化部文化旅游办公室，66604141）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0"/>
          <w:sz w:val="32"/>
          <w:lang w:val="en-US" w:eastAsia="zh-CN"/>
        </w:rPr>
      </w:pPr>
    </w:p>
    <w:p>
      <w:pPr>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br w:type="page"/>
      </w:r>
    </w:p>
    <w:p>
      <w:pPr>
        <w:tabs>
          <w:tab w:val="left" w:pos="2444"/>
        </w:tabs>
        <w:bidi w:val="0"/>
        <w:jc w:val="both"/>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w:t>
      </w:r>
    </w:p>
    <w:p>
      <w:pPr>
        <w:keepNext w:val="0"/>
        <w:keepLines w:val="0"/>
        <w:pageBreakBefore w:val="0"/>
        <w:widowControl w:val="0"/>
        <w:tabs>
          <w:tab w:val="left" w:pos="2444"/>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2444"/>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济南新旧动能转换起步区</w:t>
      </w:r>
    </w:p>
    <w:p>
      <w:pPr>
        <w:keepNext w:val="0"/>
        <w:keepLines w:val="0"/>
        <w:pageBreakBefore w:val="0"/>
        <w:widowControl w:val="0"/>
        <w:tabs>
          <w:tab w:val="left" w:pos="2444"/>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第二批区级非物质文化遗产代表性项目名录</w:t>
      </w:r>
    </w:p>
    <w:p>
      <w:pPr>
        <w:keepNext w:val="0"/>
        <w:keepLines w:val="0"/>
        <w:pageBreakBefore w:val="0"/>
        <w:widowControl w:val="0"/>
        <w:kinsoku/>
        <w:wordWrap/>
        <w:overflowPunct/>
        <w:topLinePunct w:val="0"/>
        <w:autoSpaceDE/>
        <w:autoSpaceDN/>
        <w:bidi w:val="0"/>
        <w:adjustRightInd/>
        <w:spacing w:line="579"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（共计6项）</w:t>
      </w:r>
    </w:p>
    <w:p>
      <w:pPr>
        <w:tabs>
          <w:tab w:val="left" w:pos="2444"/>
        </w:tabs>
        <w:bidi w:val="0"/>
        <w:ind w:firstLine="640" w:firstLineChars="200"/>
        <w:jc w:val="right"/>
        <w:rPr>
          <w:rFonts w:hint="eastAsia" w:eastAsia="宋体"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一、民间文学（1项）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项目编号</w:t>
            </w:r>
          </w:p>
        </w:tc>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项目名称</w:t>
            </w:r>
          </w:p>
        </w:tc>
        <w:tc>
          <w:tcPr>
            <w:tcW w:w="3021"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I-1</w:t>
            </w:r>
          </w:p>
        </w:tc>
        <w:tc>
          <w:tcPr>
            <w:tcW w:w="3020" w:type="dxa"/>
            <w:vAlign w:val="center"/>
          </w:tcPr>
          <w:p>
            <w:pPr>
              <w:ind w:firstLine="320" w:firstLineChars="1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清宁民间传说</w:t>
            </w:r>
          </w:p>
        </w:tc>
        <w:tc>
          <w:tcPr>
            <w:tcW w:w="302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2"/>
                <w:sz w:val="32"/>
                <w:szCs w:val="32"/>
                <w:vertAlign w:val="baseline"/>
                <w:lang w:val="en-US" w:eastAsia="zh-CN" w:bidi="ar-SA"/>
              </w:rPr>
              <w:t>崔寨街道清宁村</w:t>
            </w:r>
          </w:p>
        </w:tc>
      </w:tr>
    </w:tbl>
    <w:p>
      <w:pPr>
        <w:keepNext w:val="0"/>
        <w:keepLines w:val="0"/>
        <w:pageBreakBefore w:val="0"/>
        <w:widowControl w:val="0"/>
        <w:kinsoku/>
        <w:wordWrap/>
        <w:overflowPunct/>
        <w:topLinePunct w:val="0"/>
        <w:autoSpaceDE/>
        <w:autoSpaceDN/>
        <w:bidi w:val="0"/>
        <w:adjustRightInd/>
        <w:spacing w:line="579"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二、传统戏剧（1项）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项目编号</w:t>
            </w:r>
          </w:p>
        </w:tc>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项目名称</w:t>
            </w:r>
          </w:p>
        </w:tc>
        <w:tc>
          <w:tcPr>
            <w:tcW w:w="3021"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IV-1</w:t>
            </w:r>
          </w:p>
        </w:tc>
        <w:tc>
          <w:tcPr>
            <w:tcW w:w="302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东路梆子</w:t>
            </w:r>
          </w:p>
        </w:tc>
        <w:tc>
          <w:tcPr>
            <w:tcW w:w="302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崔寨街道清宁书院</w:t>
            </w:r>
          </w:p>
        </w:tc>
      </w:tr>
    </w:tbl>
    <w:p>
      <w:pPr>
        <w:keepNext w:val="0"/>
        <w:keepLines w:val="0"/>
        <w:pageBreakBefore w:val="0"/>
        <w:widowControl w:val="0"/>
        <w:kinsoku/>
        <w:wordWrap/>
        <w:overflowPunct/>
        <w:topLinePunct w:val="0"/>
        <w:autoSpaceDE/>
        <w:autoSpaceDN/>
        <w:bidi w:val="0"/>
        <w:adjustRightInd/>
        <w:spacing w:line="579" w:lineRule="exact"/>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三、传统体育、游艺与杂技（1项）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项目编号</w:t>
            </w:r>
          </w:p>
        </w:tc>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项目名称</w:t>
            </w:r>
          </w:p>
        </w:tc>
        <w:tc>
          <w:tcPr>
            <w:tcW w:w="3021"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VI-1</w:t>
            </w:r>
          </w:p>
        </w:tc>
        <w:tc>
          <w:tcPr>
            <w:tcW w:w="302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后冯马叉</w:t>
            </w:r>
          </w:p>
        </w:tc>
        <w:tc>
          <w:tcPr>
            <w:tcW w:w="3021" w:type="dxa"/>
            <w:vAlign w:val="center"/>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太平街道后冯村</w:t>
            </w:r>
          </w:p>
        </w:tc>
      </w:tr>
    </w:tbl>
    <w:p>
      <w:pPr>
        <w:keepNext w:val="0"/>
        <w:keepLines w:val="0"/>
        <w:pageBreakBefore w:val="0"/>
        <w:widowControl w:val="0"/>
        <w:kinsoku/>
        <w:wordWrap/>
        <w:overflowPunct/>
        <w:topLinePunct w:val="0"/>
        <w:autoSpaceDE/>
        <w:autoSpaceDN/>
        <w:bidi w:val="0"/>
        <w:adjustRightInd/>
        <w:spacing w:line="579"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79"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pacing w:line="579"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四、传统美术（1项）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项目编号</w:t>
            </w:r>
          </w:p>
        </w:tc>
        <w:tc>
          <w:tcPr>
            <w:tcW w:w="3020" w:type="dxa"/>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项目名称</w:t>
            </w:r>
          </w:p>
        </w:tc>
        <w:tc>
          <w:tcPr>
            <w:tcW w:w="3021" w:type="dxa"/>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VII-3</w:t>
            </w:r>
          </w:p>
        </w:tc>
        <w:tc>
          <w:tcPr>
            <w:tcW w:w="3020"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太平面塑</w:t>
            </w:r>
          </w:p>
        </w:tc>
        <w:tc>
          <w:tcPr>
            <w:tcW w:w="3021" w:type="dxa"/>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太平街道秦一村</w:t>
            </w:r>
          </w:p>
        </w:tc>
      </w:tr>
    </w:tbl>
    <w:p>
      <w:pPr>
        <w:keepNext w:val="0"/>
        <w:keepLines w:val="0"/>
        <w:pageBreakBefore w:val="0"/>
        <w:widowControl w:val="0"/>
        <w:kinsoku/>
        <w:wordWrap/>
        <w:overflowPunct/>
        <w:topLinePunct w:val="0"/>
        <w:autoSpaceDE/>
        <w:autoSpaceDN/>
        <w:bidi w:val="0"/>
        <w:adjustRightInd/>
        <w:spacing w:line="579"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五、传统技艺（1项）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项目编号</w:t>
            </w:r>
          </w:p>
        </w:tc>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项目名称</w:t>
            </w:r>
          </w:p>
        </w:tc>
        <w:tc>
          <w:tcPr>
            <w:tcW w:w="3021"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VIII-3</w:t>
            </w:r>
          </w:p>
        </w:tc>
        <w:tc>
          <w:tcPr>
            <w:tcW w:w="302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清宁杂面制作技艺</w:t>
            </w:r>
          </w:p>
        </w:tc>
        <w:tc>
          <w:tcPr>
            <w:tcW w:w="302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崔寨街道清宁村</w:t>
            </w:r>
          </w:p>
        </w:tc>
      </w:tr>
    </w:tbl>
    <w:p>
      <w:pPr>
        <w:keepNext w:val="0"/>
        <w:keepLines w:val="0"/>
        <w:pageBreakBefore w:val="0"/>
        <w:widowControl w:val="0"/>
        <w:kinsoku/>
        <w:wordWrap/>
        <w:overflowPunct/>
        <w:topLinePunct w:val="0"/>
        <w:autoSpaceDE/>
        <w:autoSpaceDN/>
        <w:bidi w:val="0"/>
        <w:adjustRightInd/>
        <w:spacing w:line="579" w:lineRule="exact"/>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79"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六、民俗（1项）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项目编号</w:t>
            </w:r>
          </w:p>
        </w:tc>
        <w:tc>
          <w:tcPr>
            <w:tcW w:w="3020"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项目名称</w:t>
            </w:r>
          </w:p>
        </w:tc>
        <w:tc>
          <w:tcPr>
            <w:tcW w:w="3021" w:type="dxa"/>
            <w:vAlign w:val="center"/>
          </w:tcPr>
          <w:p>
            <w:pPr>
              <w:jc w:val="center"/>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X-1</w:t>
            </w:r>
          </w:p>
        </w:tc>
        <w:tc>
          <w:tcPr>
            <w:tcW w:w="3020"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清宁宴食俗</w:t>
            </w:r>
          </w:p>
        </w:tc>
        <w:tc>
          <w:tcPr>
            <w:tcW w:w="3021" w:type="dxa"/>
            <w:vAlign w:val="center"/>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崔寨街道清宁村</w:t>
            </w:r>
          </w:p>
        </w:tc>
      </w:tr>
    </w:tbl>
    <w:p>
      <w:pPr>
        <w:pStyle w:val="2"/>
        <w:rPr>
          <w:rFonts w:hint="eastAsia"/>
          <w:lang w:val="en-US" w:eastAsia="zh-CN"/>
        </w:rPr>
      </w:pP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882" w:leftChars="120" w:hanging="630" w:hangingChars="300"/>
        <w:textAlignment w:val="auto"/>
        <w:rPr>
          <w:rFonts w:hint="eastAsia"/>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F8F63-31C3-48AD-9939-C67936CB2D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EA5B0E-EF89-4193-82F7-73D3462E8D80}"/>
  </w:font>
  <w:font w:name="楷体_GB2312">
    <w:panose1 w:val="02010609030101010101"/>
    <w:charset w:val="86"/>
    <w:family w:val="auto"/>
    <w:pitch w:val="default"/>
    <w:sig w:usb0="00000001" w:usb1="080E0000" w:usb2="00000000" w:usb3="00000000" w:csb0="00040000" w:csb1="00000000"/>
    <w:embedRegular r:id="rId3" w:fontKey="{8791D424-275F-48BE-AB83-BA4EE4ABAE9B}"/>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4" w:fontKey="{EA47AEE7-EDFF-4C51-B456-3987D1548239}"/>
  </w:font>
  <w:font w:name="方正小标宋简体">
    <w:panose1 w:val="03000509000000000000"/>
    <w:charset w:val="86"/>
    <w:family w:val="auto"/>
    <w:pitch w:val="default"/>
    <w:sig w:usb0="00000001" w:usb1="080E0000" w:usb2="00000000" w:usb3="00000000" w:csb0="00040000" w:csb1="00000000"/>
    <w:embedRegular r:id="rId5" w:fontKey="{A5785683-58F9-4FB9-B4EF-29338FA619BF}"/>
  </w:font>
  <w:font w:name="文星标宋">
    <w:panose1 w:val="02010609000101010101"/>
    <w:charset w:val="86"/>
    <w:family w:val="auto"/>
    <w:pitch w:val="default"/>
    <w:sig w:usb0="00000001" w:usb1="080E0000" w:usb2="00000000" w:usb3="00000000" w:csb0="00040000" w:csb1="00000000"/>
    <w:embedRegular r:id="rId6" w:fontKey="{82C7AE47-E2CD-427F-B25A-B84FCAF6CBE3}"/>
  </w:font>
  <w:font w:name="方正小标宋_GBK">
    <w:panose1 w:val="02000000000000000000"/>
    <w:charset w:val="86"/>
    <w:family w:val="script"/>
    <w:pitch w:val="default"/>
    <w:sig w:usb0="A00002BF" w:usb1="38CF7CFA" w:usb2="00082016" w:usb3="00000000" w:csb0="00040001" w:csb1="00000000"/>
    <w:embedRegular r:id="rId7" w:fontKey="{72802489-6CE1-4948-A867-877B86D9B2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lang w:eastAsia="zh-CN"/>
                      </w:rPr>
                    </w:pPr>
                    <w:r>
                      <w:rPr>
                        <w:rFonts w:hint="eastAsia" w:ascii="宋体" w:hAnsi="宋体" w:cs="宋体"/>
                        <w:sz w:val="28"/>
                        <w:szCs w:val="44"/>
                        <w:lang w:eastAsia="zh-CN"/>
                      </w:rPr>
                      <w:t xml:space="preserve">— </w:t>
                    </w:r>
                    <w:r>
                      <w:rPr>
                        <w:rFonts w:hint="eastAsia" w:ascii="宋体" w:hAnsi="宋体" w:cs="宋体"/>
                        <w:sz w:val="28"/>
                        <w:szCs w:val="44"/>
                        <w:lang w:eastAsia="zh-CN"/>
                      </w:rPr>
                      <w:fldChar w:fldCharType="begin"/>
                    </w:r>
                    <w:r>
                      <w:rPr>
                        <w:rFonts w:hint="eastAsia" w:ascii="宋体" w:hAnsi="宋体" w:cs="宋体"/>
                        <w:sz w:val="28"/>
                        <w:szCs w:val="44"/>
                        <w:lang w:eastAsia="zh-CN"/>
                      </w:rPr>
                      <w:instrText xml:space="preserve"> PAGE  \* MERGEFORMAT </w:instrText>
                    </w:r>
                    <w:r>
                      <w:rPr>
                        <w:rFonts w:hint="eastAsia" w:ascii="宋体" w:hAnsi="宋体" w:cs="宋体"/>
                        <w:sz w:val="28"/>
                        <w:szCs w:val="44"/>
                        <w:lang w:eastAsia="zh-CN"/>
                      </w:rPr>
                      <w:fldChar w:fldCharType="separate"/>
                    </w:r>
                    <w:r>
                      <w:rPr>
                        <w:rFonts w:hint="eastAsia" w:ascii="宋体" w:hAnsi="宋体" w:cs="宋体"/>
                        <w:sz w:val="28"/>
                        <w:szCs w:val="44"/>
                        <w:lang w:eastAsia="zh-CN"/>
                      </w:rPr>
                      <w:t>1</w:t>
                    </w:r>
                    <w:r>
                      <w:rPr>
                        <w:rFonts w:hint="eastAsia" w:ascii="宋体" w:hAnsi="宋体" w:cs="宋体"/>
                        <w:sz w:val="28"/>
                        <w:szCs w:val="44"/>
                        <w:lang w:eastAsia="zh-CN"/>
                      </w:rPr>
                      <w:fldChar w:fldCharType="end"/>
                    </w:r>
                    <w:r>
                      <w:rPr>
                        <w:rFonts w:hint="eastAsia" w:ascii="宋体" w:hAnsi="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 w:name="KSO_WPS_MARK_KEY" w:val="bec605db-ef7c-4a1a-a384-19865c28ae2e"/>
  </w:docVars>
  <w:rsids>
    <w:rsidRoot w:val="6F6053C9"/>
    <w:rsid w:val="01A015FE"/>
    <w:rsid w:val="03792095"/>
    <w:rsid w:val="037D77F1"/>
    <w:rsid w:val="056E368F"/>
    <w:rsid w:val="05B86EDF"/>
    <w:rsid w:val="071C0EF3"/>
    <w:rsid w:val="086369A3"/>
    <w:rsid w:val="0B685ABD"/>
    <w:rsid w:val="0D40009C"/>
    <w:rsid w:val="0F7B1E84"/>
    <w:rsid w:val="11984340"/>
    <w:rsid w:val="13203056"/>
    <w:rsid w:val="148E0DD7"/>
    <w:rsid w:val="15271CA0"/>
    <w:rsid w:val="161271C4"/>
    <w:rsid w:val="16916FBF"/>
    <w:rsid w:val="17582548"/>
    <w:rsid w:val="181A4A3C"/>
    <w:rsid w:val="1833416F"/>
    <w:rsid w:val="1EAB48DF"/>
    <w:rsid w:val="1F710E32"/>
    <w:rsid w:val="253F55D6"/>
    <w:rsid w:val="272462F2"/>
    <w:rsid w:val="2C675170"/>
    <w:rsid w:val="2C7F5204"/>
    <w:rsid w:val="2DF33D2D"/>
    <w:rsid w:val="2F746DBC"/>
    <w:rsid w:val="308611D3"/>
    <w:rsid w:val="31C81329"/>
    <w:rsid w:val="37BA606B"/>
    <w:rsid w:val="3EF50308"/>
    <w:rsid w:val="3F302C55"/>
    <w:rsid w:val="407B4418"/>
    <w:rsid w:val="42B22FC5"/>
    <w:rsid w:val="42C86F85"/>
    <w:rsid w:val="43415C1F"/>
    <w:rsid w:val="4883687E"/>
    <w:rsid w:val="4B207620"/>
    <w:rsid w:val="4CBD11A3"/>
    <w:rsid w:val="4D92314C"/>
    <w:rsid w:val="4EA24FDC"/>
    <w:rsid w:val="4F5B20FC"/>
    <w:rsid w:val="508C3277"/>
    <w:rsid w:val="50903612"/>
    <w:rsid w:val="50C8299F"/>
    <w:rsid w:val="53343C0C"/>
    <w:rsid w:val="54BA54C6"/>
    <w:rsid w:val="565E018E"/>
    <w:rsid w:val="56B22D46"/>
    <w:rsid w:val="588C3D6A"/>
    <w:rsid w:val="5ABB5C58"/>
    <w:rsid w:val="61107F4E"/>
    <w:rsid w:val="61945265"/>
    <w:rsid w:val="61D32D57"/>
    <w:rsid w:val="62733293"/>
    <w:rsid w:val="644D4B19"/>
    <w:rsid w:val="67323F9D"/>
    <w:rsid w:val="6A0767C9"/>
    <w:rsid w:val="6A885FCB"/>
    <w:rsid w:val="6D562076"/>
    <w:rsid w:val="6D7A23CE"/>
    <w:rsid w:val="6F6053C9"/>
    <w:rsid w:val="6FDD60A6"/>
    <w:rsid w:val="73C4170D"/>
    <w:rsid w:val="742D4703"/>
    <w:rsid w:val="74FD023B"/>
    <w:rsid w:val="77744752"/>
    <w:rsid w:val="78874D6A"/>
    <w:rsid w:val="79FB5918"/>
    <w:rsid w:val="7A434032"/>
    <w:rsid w:val="7D717185"/>
    <w:rsid w:val="7D763BC4"/>
    <w:rsid w:val="7F150B25"/>
    <w:rsid w:val="7F29292E"/>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3">
    <w:name w:val="Body Text"/>
    <w:basedOn w:val="1"/>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Plain Text"/>
    <w:basedOn w:val="1"/>
    <w:autoRedefine/>
    <w:qFormat/>
    <w:uiPriority w:val="0"/>
    <w:rPr>
      <w:rFonts w:ascii="宋体" w:hAnsi="Courier New"/>
    </w:rPr>
  </w:style>
  <w:style w:type="paragraph" w:styleId="5">
    <w:name w:val="footer"/>
    <w:basedOn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747</Words>
  <Characters>784</Characters>
  <Lines>0</Lines>
  <Paragraphs>0</Paragraphs>
  <TotalTime>22</TotalTime>
  <ScaleCrop>false</ScaleCrop>
  <LinksUpToDate>false</LinksUpToDate>
  <CharactersWithSpaces>805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2023-12-12T06:51:00Z</cp:lastPrinted>
  <dcterms:modified xsi:type="dcterms:W3CDTF">2024-01-15T01:45:54Z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A6547FD5CF7042B6ADB14B10F50BFD10_13</vt:lpwstr>
  </property>
</Properties>
</file>