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A50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p>
    <w:p w14:paraId="479972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14:paraId="0E0D35C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14:paraId="4AF8B7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2"/>
          <w:szCs w:val="32"/>
          <w:lang w:val="en-US" w:eastAsia="zh-CN"/>
        </w:rPr>
      </w:pPr>
    </w:p>
    <w:p w14:paraId="497BB112">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default" w:ascii="仿宋_GB2312" w:hAnsi="宋体" w:eastAsia="仿宋_GB2312" w:cs="仿宋_GB2312"/>
          <w:color w:val="000000" w:themeColor="text1"/>
          <w:kern w:val="0"/>
          <w:sz w:val="32"/>
          <w:szCs w:val="32"/>
          <w:lang w:val="en-US" w:eastAsia="en-US"/>
          <w14:textFill>
            <w14:solidFill>
              <w14:schemeClr w14:val="tx1"/>
            </w14:solidFill>
          </w14:textFill>
        </w:rPr>
      </w:pPr>
    </w:p>
    <w:p w14:paraId="712C1E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仿宋_GB2312"/>
          <w:color w:val="000000" w:themeColor="text1"/>
          <w:kern w:val="0"/>
          <w:sz w:val="32"/>
          <w:szCs w:val="32"/>
          <w:lang w:eastAsia="en-US"/>
          <w14:textFill>
            <w14:solidFill>
              <w14:schemeClr w14:val="tx1"/>
            </w14:solidFill>
          </w14:textFill>
        </w:rPr>
      </w:pPr>
    </w:p>
    <w:p w14:paraId="1719C0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eastAsia="en-US"/>
          <w14:textFill>
            <w14:solidFill>
              <w14:schemeClr w14:val="tx1"/>
            </w14:solidFill>
          </w14:textFill>
        </w:rPr>
        <w:t>济</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起管办字</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202</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号</w:t>
      </w:r>
    </w:p>
    <w:p w14:paraId="6852C0B1">
      <w:pPr>
        <w:keepNext w:val="0"/>
        <w:keepLines w:val="0"/>
        <w:pageBreakBefore w:val="0"/>
        <w:widowControl w:val="0"/>
        <w:kinsoku/>
        <w:wordWrap/>
        <w:overflowPunct/>
        <w:topLinePunct w:val="0"/>
        <w:autoSpaceDE/>
        <w:autoSpaceDN/>
        <w:bidi w:val="0"/>
        <w:adjustRightInd/>
        <w:snapToGrid/>
        <w:spacing w:line="227" w:lineRule="exact"/>
        <w:jc w:val="left"/>
        <w:textAlignment w:val="auto"/>
        <w:rPr>
          <w:rFonts w:ascii="宋体" w:hAnsi="宋体" w:eastAsia="仿宋_GB2312" w:cs="仿宋_GB2312"/>
          <w:color w:val="000000"/>
          <w:kern w:val="0"/>
          <w:sz w:val="11"/>
          <w:szCs w:val="11"/>
          <w:lang w:eastAsia="en-US"/>
        </w:rPr>
      </w:pPr>
    </w:p>
    <w:p w14:paraId="6D30E093">
      <w:pPr>
        <w:keepNext w:val="0"/>
        <w:keepLines w:val="0"/>
        <w:pageBreakBefore w:val="0"/>
        <w:widowControl w:val="0"/>
        <w:kinsoku/>
        <w:wordWrap/>
        <w:overflowPunct/>
        <w:topLinePunct w:val="0"/>
        <w:autoSpaceDE w:val="0"/>
        <w:autoSpaceDN/>
        <w:bidi w:val="0"/>
        <w:adjustRightInd w:val="0"/>
        <w:snapToGrid w:val="0"/>
        <w:spacing w:line="579" w:lineRule="exact"/>
        <w:jc w:val="center"/>
        <w:textAlignment w:val="auto"/>
        <w:rPr>
          <w:rFonts w:hint="eastAsia" w:ascii="方正小标宋简体" w:hAnsi="宋体" w:eastAsia="方正小标宋简体" w:cs="方正小标宋_GBK"/>
          <w:sz w:val="44"/>
          <w:szCs w:val="44"/>
          <w:lang w:val="en-US" w:eastAsia="en-US"/>
        </w:rPr>
      </w:pPr>
    </w:p>
    <w:p w14:paraId="480D455F">
      <w:pPr>
        <w:keepNext w:val="0"/>
        <w:keepLines w:val="0"/>
        <w:pageBreakBefore w:val="0"/>
        <w:widowControl w:val="0"/>
        <w:kinsoku/>
        <w:wordWrap/>
        <w:overflowPunct/>
        <w:topLinePunct w:val="0"/>
        <w:autoSpaceDE/>
        <w:autoSpaceDN/>
        <w:bidi w:val="0"/>
        <w:adjustRightInd/>
        <w:snapToGrid/>
        <w:spacing w:line="579" w:lineRule="exact"/>
        <w:ind w:firstLine="664" w:firstLineChars="200"/>
        <w:textAlignment w:val="auto"/>
        <w:rPr>
          <w:rFonts w:hint="eastAsia" w:ascii="楷体_GB2312" w:hAnsi="楷体_GB2312" w:eastAsia="楷体_GB2312" w:cs="楷体_GB2312"/>
          <w:spacing w:val="6"/>
          <w:sz w:val="32"/>
          <w:lang w:val="en-US" w:eastAsia="zh-CN"/>
        </w:rPr>
      </w:pPr>
    </w:p>
    <w:p w14:paraId="705B7720">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济南新旧动能转换起步区管委会办公室</w:t>
      </w:r>
    </w:p>
    <w:p w14:paraId="05BC7D58">
      <w:pPr>
        <w:keepNext w:val="0"/>
        <w:keepLines w:val="0"/>
        <w:pageBreakBefore w:val="0"/>
        <w:widowControl w:val="0"/>
        <w:kinsoku/>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关于印发《济南新旧动能转换起步区2025年政务公开工作要点》的通知</w:t>
      </w:r>
    </w:p>
    <w:p w14:paraId="1E7475C7">
      <w:pPr>
        <w:keepNext w:val="0"/>
        <w:keepLines w:val="0"/>
        <w:pageBreakBefore w:val="0"/>
        <w:widowControl w:val="0"/>
        <w:tabs>
          <w:tab w:val="left" w:pos="6090"/>
        </w:tabs>
        <w:kinsoku/>
        <w:wordWrap/>
        <w:overflowPunct/>
        <w:topLinePunct w:val="0"/>
        <w:autoSpaceDE/>
        <w:autoSpaceDN/>
        <w:bidi w:val="0"/>
        <w:adjustRightInd/>
        <w:snapToGrid/>
        <w:spacing w:line="540" w:lineRule="exact"/>
        <w:ind w:left="0" w:firstLine="664" w:firstLineChars="200"/>
        <w:textAlignment w:val="auto"/>
        <w:rPr>
          <w:rFonts w:hint="eastAsia" w:ascii="楷体_GB2312" w:hAnsi="楷体_GB2312" w:eastAsia="楷体_GB2312" w:cs="楷体_GB2312"/>
          <w:color w:val="000000"/>
          <w:spacing w:val="6"/>
          <w:kern w:val="2"/>
          <w:sz w:val="32"/>
          <w:szCs w:val="32"/>
          <w:lang w:val="en-US" w:eastAsia="zh-CN" w:bidi="ar-SA"/>
        </w:rPr>
      </w:pPr>
    </w:p>
    <w:p w14:paraId="6A28E29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各街道办事处，各职能部门、直属单位，驻区各单位：</w:t>
      </w:r>
    </w:p>
    <w:p w14:paraId="0ACD1D0B">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《济南新旧动能转换起步区2025年政务公开工作要点》</w:t>
      </w:r>
      <w:r>
        <w:rPr>
          <w:rFonts w:hint="eastAsia" w:ascii="楷体_GB2312" w:hAnsi="楷体_GB2312" w:eastAsia="楷体_GB2312" w:cs="楷体_GB2312"/>
          <w:spacing w:val="0"/>
          <w:sz w:val="32"/>
          <w:lang w:val="en-US" w:eastAsia="zh-CN"/>
        </w:rPr>
        <w:t>已经管委会领导同志同意，现印发给你们，请认真抓好贯彻落实。</w:t>
      </w:r>
    </w:p>
    <w:p w14:paraId="3509C706">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spacing w:val="6"/>
          <w:sz w:val="32"/>
          <w:lang w:val="en-US" w:eastAsia="zh-CN"/>
        </w:rPr>
      </w:pPr>
    </w:p>
    <w:p w14:paraId="05CBF27B">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济南新旧动能转换起步区管委会办公室</w:t>
      </w:r>
    </w:p>
    <w:p w14:paraId="05543C5D">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 xml:space="preserve">2025年6月20日          </w:t>
      </w:r>
    </w:p>
    <w:p w14:paraId="5C696A85">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spacing w:val="6"/>
          <w:sz w:val="32"/>
          <w:lang w:val="en-US" w:eastAsia="zh-CN"/>
        </w:rPr>
      </w:pPr>
    </w:p>
    <w:p w14:paraId="62E6771B">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（联系电话：管委会办公室综合室，66604058）</w:t>
      </w:r>
    </w:p>
    <w:p w14:paraId="1F9A362B">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（此件公开发布）</w:t>
      </w:r>
    </w:p>
    <w:p w14:paraId="49BAA508">
      <w:pPr>
        <w:keepNext w:val="0"/>
        <w:keepLines w:val="0"/>
        <w:pageBreakBefore w:val="0"/>
        <w:widowControl w:val="0"/>
        <w:kinsoku/>
        <w:wordWrap/>
        <w:overflowPunct w:val="0"/>
        <w:topLinePunct w:val="0"/>
        <w:autoSpaceDE/>
        <w:autoSpaceDN/>
        <w:bidi w:val="0"/>
        <w:adjustRightInd w:val="0"/>
        <w:snapToGrid w:val="0"/>
        <w:spacing w:line="579" w:lineRule="exact"/>
        <w:ind w:firstLine="0" w:firstLineChars="0"/>
        <w:jc w:val="center"/>
        <w:textAlignment w:val="baseline"/>
        <w:rPr>
          <w:rFonts w:hint="eastAsia" w:ascii="方正小标宋简体" w:hAnsi="方正小标宋简体" w:eastAsia="方正小标宋简体" w:cs="方正小标宋简体"/>
          <w:color w:val="000000"/>
          <w:sz w:val="44"/>
          <w:szCs w:val="44"/>
        </w:rPr>
      </w:pPr>
    </w:p>
    <w:p w14:paraId="514C2861">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baseline"/>
        <w:rPr>
          <w:rFonts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济南新旧动能转换起步区</w:t>
      </w:r>
      <w:r>
        <w:rPr>
          <w:rFonts w:hint="eastAsia" w:ascii="方正小标宋简体" w:hAnsi="方正小标宋简体" w:eastAsia="方正小标宋简体" w:cs="方正小标宋简体"/>
          <w:color w:val="000000"/>
          <w:spacing w:val="6"/>
          <w:sz w:val="44"/>
          <w:szCs w:val="44"/>
          <w:lang w:eastAsia="zh-CN"/>
        </w:rPr>
        <w:t>2025</w:t>
      </w:r>
      <w:r>
        <w:rPr>
          <w:rFonts w:hint="eastAsia" w:ascii="方正小标宋简体" w:hAnsi="方正小标宋简体" w:eastAsia="方正小标宋简体" w:cs="方正小标宋简体"/>
          <w:color w:val="000000"/>
          <w:spacing w:val="6"/>
          <w:sz w:val="44"/>
          <w:szCs w:val="44"/>
        </w:rPr>
        <w:t>年政务公开工作要点</w:t>
      </w:r>
    </w:p>
    <w:p w14:paraId="72967B05">
      <w:pPr>
        <w:pStyle w:val="4"/>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eastAsia" w:ascii="仿宋_GB2312" w:hAnsi="仿宋_GB2312" w:eastAsia="仿宋_GB2312" w:cs="仿宋_GB2312"/>
          <w:b w:val="0"/>
          <w:bCs/>
          <w:spacing w:val="6"/>
          <w:sz w:val="32"/>
          <w:szCs w:val="15"/>
          <w:lang w:val="en-US" w:eastAsia="zh-CN"/>
        </w:rPr>
      </w:pPr>
    </w:p>
    <w:p w14:paraId="4D55BB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2025年济南</w:t>
      </w:r>
      <w:r>
        <w:rPr>
          <w:rFonts w:hint="eastAsia" w:ascii="仿宋_GB2312" w:hAnsi="仿宋_GB2312" w:eastAsia="仿宋_GB2312" w:cs="仿宋_GB2312"/>
          <w:sz w:val="32"/>
          <w:szCs w:val="32"/>
          <w:lang w:val="en-US" w:eastAsia="zh-CN"/>
        </w:rPr>
        <w:t>起步区管委会</w:t>
      </w:r>
      <w:r>
        <w:rPr>
          <w:rFonts w:hint="eastAsia" w:ascii="仿宋_GB2312" w:hAnsi="仿宋_GB2312" w:eastAsia="仿宋_GB2312" w:cs="仿宋_GB2312"/>
          <w:sz w:val="32"/>
          <w:szCs w:val="32"/>
          <w14:ligatures w14:val="standardContextual"/>
        </w:rPr>
        <w:t>政务公开工作的总</w:t>
      </w:r>
      <w:r>
        <w:rPr>
          <w:rFonts w:hint="eastAsia" w:ascii="仿宋_GB2312" w:hAnsi="仿宋_GB2312" w:eastAsia="仿宋_GB2312" w:cs="仿宋_GB2312"/>
          <w:sz w:val="32"/>
          <w:szCs w:val="32"/>
        </w:rPr>
        <w:t>体要求是：以习近平新时代中国特色社会主义思想为指导，深入贯彻党的二十大和二十届二中、三中全会精神，全面落实习近平总书记对山东、对济南工作的重要指示要求，准确把握新时代政务公开职责定位，紧紧围绕</w:t>
      </w:r>
      <w:r>
        <w:rPr>
          <w:rFonts w:hint="eastAsia" w:ascii="仿宋_GB2312" w:hAnsi="仿宋_GB2312" w:eastAsia="仿宋_GB2312" w:cs="仿宋_GB2312"/>
          <w:sz w:val="32"/>
          <w:szCs w:val="32"/>
          <w:lang w:val="en-US" w:eastAsia="zh-CN"/>
        </w:rPr>
        <w:t>党工委、管委会</w:t>
      </w:r>
      <w:r>
        <w:rPr>
          <w:rFonts w:hint="eastAsia" w:ascii="仿宋_GB2312" w:hAnsi="仿宋_GB2312" w:eastAsia="仿宋_GB2312" w:cs="仿宋_GB2312"/>
          <w:sz w:val="32"/>
          <w:szCs w:val="32"/>
        </w:rPr>
        <w:t>重点工作任务，统筹政务公开与安全保密，持续健全制度规范，优化方式渠道，提高公开质效，以公开促落实、优服务、强监管，以高质量政务公开推动</w:t>
      </w:r>
      <w:r>
        <w:rPr>
          <w:rFonts w:hint="eastAsia" w:ascii="仿宋_GB2312" w:hAnsi="仿宋_GB2312" w:eastAsia="仿宋_GB2312" w:cs="仿宋_GB2312"/>
          <w:sz w:val="32"/>
          <w:szCs w:val="32"/>
          <w:lang w:val="en-US" w:eastAsia="zh-CN"/>
        </w:rPr>
        <w:t>起步区高水平“成形起势”</w:t>
      </w:r>
      <w:r>
        <w:rPr>
          <w:rFonts w:hint="eastAsia" w:ascii="仿宋_GB2312" w:hAnsi="仿宋_GB2312" w:eastAsia="仿宋_GB2312" w:cs="仿宋_GB2312"/>
          <w:sz w:val="32"/>
          <w:szCs w:val="32"/>
        </w:rPr>
        <w:t>。</w:t>
      </w:r>
    </w:p>
    <w:p w14:paraId="152144A4">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推进重点工作政务公开</w:t>
      </w:r>
    </w:p>
    <w:p w14:paraId="752ED11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（一）以政务公开促进政策落实。</w:t>
      </w:r>
      <w:bookmarkStart w:id="0" w:name="OLE_LINK5"/>
      <w:r>
        <w:rPr>
          <w:rFonts w:hint="eastAsia" w:ascii="仿宋_GB2312" w:hAnsi="仿宋_GB2312" w:eastAsia="仿宋_GB2312" w:cs="仿宋_GB2312"/>
          <w:sz w:val="32"/>
          <w:szCs w:val="32"/>
        </w:rPr>
        <w:t>以“项目提升年”为总牵引，</w:t>
      </w:r>
      <w:bookmarkEnd w:id="0"/>
      <w:r>
        <w:rPr>
          <w:rFonts w:hint="eastAsia" w:ascii="仿宋_GB2312" w:hAnsi="仿宋_GB2312" w:eastAsia="仿宋_GB2312" w:cs="仿宋_GB2312"/>
          <w:sz w:val="32"/>
          <w:szCs w:val="32"/>
        </w:rPr>
        <w:t>重点做好打造高质量发展增长极、推动经济量质齐升、发展新质生产力以及全面推进乡村振兴、数字</w:t>
      </w:r>
      <w:r>
        <w:rPr>
          <w:rFonts w:hint="eastAsia" w:ascii="仿宋_GB2312" w:hAnsi="仿宋_GB2312" w:eastAsia="仿宋_GB2312" w:cs="仿宋_GB2312"/>
          <w:sz w:val="32"/>
          <w:szCs w:val="32"/>
          <w:lang w:val="en-US" w:eastAsia="zh-CN"/>
        </w:rPr>
        <w:t>起步</w:t>
      </w:r>
      <w:r>
        <w:rPr>
          <w:rFonts w:hint="eastAsia" w:ascii="仿宋_GB2312" w:hAnsi="仿宋_GB2312" w:eastAsia="仿宋_GB2312" w:cs="仿宋_GB2312"/>
          <w:sz w:val="32"/>
          <w:szCs w:val="32"/>
        </w:rPr>
        <w:t>、美丽</w:t>
      </w:r>
      <w:r>
        <w:rPr>
          <w:rFonts w:hint="eastAsia" w:ascii="仿宋_GB2312" w:hAnsi="仿宋_GB2312" w:eastAsia="仿宋_GB2312" w:cs="仿宋_GB2312"/>
          <w:sz w:val="32"/>
          <w:szCs w:val="32"/>
          <w:lang w:val="en-US" w:eastAsia="zh-CN"/>
        </w:rPr>
        <w:t>起步</w:t>
      </w:r>
      <w:r>
        <w:rPr>
          <w:rFonts w:hint="eastAsia" w:ascii="仿宋_GB2312" w:hAnsi="仿宋_GB2312" w:eastAsia="仿宋_GB2312" w:cs="仿宋_GB2312"/>
          <w:sz w:val="32"/>
          <w:szCs w:val="32"/>
        </w:rPr>
        <w:t>和平安</w:t>
      </w:r>
      <w:r>
        <w:rPr>
          <w:rFonts w:hint="eastAsia" w:ascii="仿宋_GB2312" w:hAnsi="仿宋_GB2312" w:eastAsia="仿宋_GB2312" w:cs="仿宋_GB2312"/>
          <w:sz w:val="32"/>
          <w:szCs w:val="32"/>
          <w:lang w:val="en-US" w:eastAsia="zh-CN"/>
        </w:rPr>
        <w:t>起步</w:t>
      </w:r>
      <w:r>
        <w:rPr>
          <w:rFonts w:hint="eastAsia" w:ascii="仿宋_GB2312" w:hAnsi="仿宋_GB2312" w:eastAsia="仿宋_GB2312" w:cs="仿宋_GB2312"/>
          <w:sz w:val="32"/>
          <w:szCs w:val="32"/>
        </w:rPr>
        <w:t>建设等方面信息公开工作。加大城市更新支持、购房补贴奖励等方面的政策发布和解读，持续做好</w:t>
      </w:r>
      <w:r>
        <w:rPr>
          <w:rFonts w:hint="eastAsia" w:ascii="仿宋_GB2312" w:hAnsi="仿宋_GB2312" w:eastAsia="仿宋_GB2312" w:cs="仿宋_GB2312"/>
          <w:sz w:val="32"/>
          <w:szCs w:val="32"/>
          <w:lang w:val="en-US" w:eastAsia="zh-CN"/>
        </w:rPr>
        <w:t>征地拆迁</w:t>
      </w:r>
      <w:r>
        <w:rPr>
          <w:rFonts w:hint="eastAsia" w:ascii="仿宋_GB2312" w:hAnsi="仿宋_GB2312" w:eastAsia="仿宋_GB2312" w:cs="仿宋_GB2312"/>
          <w:sz w:val="32"/>
          <w:szCs w:val="32"/>
        </w:rPr>
        <w:t>等领域信息公开。围绕高校毕业生、农民工、退役军人等重点群体，加大就业帮扶、职业技能培训、社会保险待遇等政策解读和信息推送力度，分类归集发布重点产业企业用工需求。重点推进义务教育等方面信息公开。加强养老服务扶持政策和养老机构监管信息公开。</w:t>
      </w:r>
    </w:p>
    <w:p w14:paraId="738E8D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pacing w:val="0"/>
          <w:sz w:val="32"/>
          <w:szCs w:val="32"/>
          <w:highlight w:val="none"/>
          <w:lang w:eastAsia="zh-CN"/>
        </w:rPr>
        <w:t>（二）以政务公开优化政务服务。</w:t>
      </w:r>
      <w:r>
        <w:rPr>
          <w:rFonts w:hint="eastAsia" w:ascii="仿宋_GB2312" w:hAnsi="仿宋_GB2312" w:eastAsia="仿宋_GB2312" w:cs="仿宋_GB2312"/>
          <w:sz w:val="32"/>
          <w:szCs w:val="32"/>
        </w:rPr>
        <w:t>围绕“高效办成一件事”，以优化企业、群众体验为导向，规范发布本地区政务服务事项目录、办事指南和中介服务事项清单，推动政务服务事项集成式、一站式公开。加强市场监管制度规则公开，及时公开建设高标准市场体系政策措施。密切跟踪全国统一的市场准入负面清单，根据动态调整情况做好清单事项内容、主管部门等信息的更新发布和相关解读。依托</w:t>
      </w:r>
      <w:bookmarkStart w:id="1" w:name="OLE_LINK4"/>
      <w:r>
        <w:rPr>
          <w:rFonts w:hint="eastAsia" w:ascii="仿宋_GB2312" w:hAnsi="仿宋_GB2312" w:eastAsia="仿宋_GB2312" w:cs="仿宋_GB2312"/>
          <w:sz w:val="32"/>
          <w:szCs w:val="32"/>
        </w:rPr>
        <w:t>12345热线</w:t>
      </w:r>
      <w:bookmarkEnd w:id="1"/>
      <w:r>
        <w:rPr>
          <w:rFonts w:hint="eastAsia" w:ascii="仿宋_GB2312" w:hAnsi="仿宋_GB2312" w:eastAsia="仿宋_GB2312" w:cs="仿宋_GB2312"/>
          <w:sz w:val="32"/>
          <w:szCs w:val="32"/>
          <w:highlight w:val="none"/>
        </w:rPr>
        <w:t>等平台，广泛听取社会各界关于优化我</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营商环境的意见建议。</w:t>
      </w:r>
    </w:p>
    <w:p w14:paraId="596A93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（三）以政务公开</w:t>
      </w:r>
      <w:r>
        <w:rPr>
          <w:rFonts w:hint="eastAsia" w:ascii="楷体_GB2312" w:hAnsi="楷体_GB2312" w:eastAsia="楷体_GB2312" w:cs="楷体_GB2312"/>
          <w:spacing w:val="0"/>
          <w:sz w:val="32"/>
          <w:szCs w:val="32"/>
          <w:highlight w:val="none"/>
          <w:lang w:val="en-US" w:eastAsia="zh-CN"/>
        </w:rPr>
        <w:t>提高监管效能</w:t>
      </w:r>
      <w:r>
        <w:rPr>
          <w:rFonts w:hint="eastAsia" w:ascii="楷体_GB2312" w:hAnsi="楷体_GB2312" w:eastAsia="楷体_GB2312" w:cs="楷体_GB2312"/>
          <w:spacing w:val="0"/>
          <w:sz w:val="32"/>
          <w:szCs w:val="32"/>
          <w:highlight w:val="none"/>
          <w:lang w:eastAsia="zh-CN"/>
        </w:rPr>
        <w:t>。</w:t>
      </w:r>
      <w:r>
        <w:rPr>
          <w:rFonts w:hint="eastAsia" w:ascii="仿宋_GB2312" w:hAnsi="仿宋_GB2312" w:eastAsia="仿宋_GB2312" w:cs="仿宋_GB2312"/>
          <w:sz w:val="32"/>
          <w:szCs w:val="32"/>
          <w:highlight w:val="none"/>
        </w:rPr>
        <w:t>加强执法公开透明，依法依规公示涉企行政执法事项，动态更新行政检</w:t>
      </w:r>
      <w:r>
        <w:rPr>
          <w:rFonts w:hint="eastAsia" w:ascii="仿宋_GB2312" w:hAnsi="仿宋_GB2312" w:eastAsia="仿宋_GB2312" w:cs="仿宋_GB2312"/>
          <w:sz w:val="32"/>
          <w:szCs w:val="32"/>
        </w:rPr>
        <w:t>查计划及执行情况，确保执法行为规范、可监督。优化提升全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双随机、一公开”监管平台，持续做好权责清单依法公开和动态更新。规范招投标信息公开，加大招标公告、中标合同、履约信息公开力度，招标公告要载明招标投标行政监督部门。动态更新并及时公开本地区执行的行政事业性收费和政府性基金目录清单。将排污单位和第三方治理、运维、检测机构弄虚作假行为纳入信用记录，依法向社会公布。及时公布重污染天气应急等信息，引导公众做好重污染天气期间的健康防护。</w:t>
      </w:r>
    </w:p>
    <w:p w14:paraId="17ED96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二、完善政务公开工作标准</w:t>
      </w:r>
    </w:p>
    <w:p w14:paraId="45C00E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（四）完善主动公开机制。</w:t>
      </w:r>
      <w:r>
        <w:rPr>
          <w:rFonts w:hint="eastAsia" w:ascii="仿宋_GB2312" w:hAnsi="仿宋_GB2312" w:eastAsia="仿宋_GB2312" w:cs="仿宋_GB2312"/>
          <w:sz w:val="32"/>
          <w:szCs w:val="32"/>
        </w:rPr>
        <w:t>健全完善主动公开事项目录</w:t>
      </w:r>
      <w:r>
        <w:rPr>
          <w:rFonts w:hint="eastAsia" w:ascii="仿宋_GB2312" w:hAnsi="仿宋_GB2312" w:eastAsia="仿宋_GB2312" w:cs="仿宋_GB2312"/>
          <w:sz w:val="32"/>
          <w:szCs w:val="32"/>
          <w:lang w:val="en-US" w:eastAsia="zh-CN"/>
        </w:rPr>
        <w:t>体系</w:t>
      </w:r>
      <w:r>
        <w:rPr>
          <w:rFonts w:hint="eastAsia" w:ascii="仿宋_GB2312" w:hAnsi="仿宋_GB2312" w:eastAsia="仿宋_GB2312" w:cs="仿宋_GB2312"/>
          <w:sz w:val="32"/>
          <w:szCs w:val="32"/>
        </w:rPr>
        <w:t>，做到</w:t>
      </w:r>
      <w:bookmarkStart w:id="2" w:name="OLE_LINK1"/>
      <w:r>
        <w:rPr>
          <w:rFonts w:hint="eastAsia" w:ascii="仿宋_GB2312" w:hAnsi="仿宋_GB2312" w:eastAsia="仿宋_GB2312" w:cs="仿宋_GB2312"/>
          <w:sz w:val="32"/>
          <w:szCs w:val="32"/>
        </w:rPr>
        <w:t>法定公开事项主动公开到位</w:t>
      </w:r>
      <w:bookmarkEnd w:id="2"/>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各部门（单位）</w:t>
      </w:r>
      <w:r>
        <w:rPr>
          <w:rFonts w:hint="eastAsia" w:ascii="仿宋_GB2312" w:hAnsi="仿宋_GB2312" w:eastAsia="仿宋_GB2312" w:cs="仿宋_GB2312"/>
          <w:sz w:val="32"/>
          <w:szCs w:val="32"/>
        </w:rPr>
        <w:t>要持续完善本领域、本系统的主动公开事项目录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探索将主动公开事项目录</w:t>
      </w:r>
      <w:r>
        <w:rPr>
          <w:rFonts w:hint="eastAsia" w:ascii="仿宋_GB2312" w:hAnsi="仿宋_GB2312" w:eastAsia="仿宋_GB2312" w:cs="仿宋_GB2312"/>
          <w:sz w:val="32"/>
          <w:szCs w:val="32"/>
          <w:lang w:val="en-US" w:eastAsia="zh-CN"/>
        </w:rPr>
        <w:t>运用</w:t>
      </w:r>
      <w:r>
        <w:rPr>
          <w:rFonts w:hint="eastAsia" w:ascii="仿宋_GB2312" w:hAnsi="仿宋_GB2312" w:eastAsia="仿宋_GB2312" w:cs="仿宋_GB2312"/>
          <w:sz w:val="32"/>
          <w:szCs w:val="32"/>
        </w:rPr>
        <w:t>到现有业务流程，促进公开与业务融合发展。推动基层政务公开向农村和社区延伸，探索适合基层特点的公开渠道，实现与村（居）务公开工作的衔接协同。</w:t>
      </w:r>
    </w:p>
    <w:p w14:paraId="342CEC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（五）加强政策解读回应。</w:t>
      </w:r>
      <w:r>
        <w:rPr>
          <w:rFonts w:hint="eastAsia" w:ascii="仿宋_GB2312" w:hAnsi="仿宋_GB2312" w:eastAsia="仿宋_GB2312" w:cs="仿宋_GB2312"/>
          <w:sz w:val="32"/>
          <w:szCs w:val="32"/>
        </w:rPr>
        <w:t>严格落实政策文件与解读方案、解读材料同步组织、同步审签、同步部署“三同步”工作制度，将政策解读作为文件审签的重要一环，与政策文件同步录入</w:t>
      </w:r>
      <w:r>
        <w:rPr>
          <w:rFonts w:hint="eastAsia" w:ascii="仿宋_GB2312" w:hAnsi="仿宋_GB2312" w:eastAsia="仿宋_GB2312" w:cs="仿宋_GB2312"/>
          <w:sz w:val="32"/>
          <w:szCs w:val="32"/>
          <w:lang w:val="en-US" w:eastAsia="zh-CN"/>
        </w:rPr>
        <w:t>门户网站</w:t>
      </w:r>
      <w:r>
        <w:rPr>
          <w:rFonts w:hint="eastAsia" w:ascii="仿宋_GB2312" w:hAnsi="仿宋_GB2312" w:eastAsia="仿宋_GB2312" w:cs="仿宋_GB2312"/>
          <w:sz w:val="32"/>
          <w:szCs w:val="32"/>
        </w:rPr>
        <w:t>并做好关联展示。</w:t>
      </w:r>
      <w:r>
        <w:rPr>
          <w:rFonts w:hint="eastAsia" w:ascii="仿宋_GB2312" w:hAnsi="仿宋_GB2312" w:eastAsia="仿宋_GB2312" w:cs="仿宋_GB2312"/>
          <w:sz w:val="32"/>
          <w:szCs w:val="32"/>
          <w:lang w:val="en-US" w:eastAsia="zh-CN"/>
        </w:rPr>
        <w:t>严格落实</w:t>
      </w:r>
      <w:r>
        <w:rPr>
          <w:rFonts w:hint="eastAsia" w:ascii="仿宋_GB2312" w:hAnsi="仿宋_GB2312" w:eastAsia="仿宋_GB2312" w:cs="仿宋_GB2312"/>
          <w:sz w:val="32"/>
          <w:szCs w:val="32"/>
        </w:rPr>
        <w:t>政策全周期解读工作机制：政策出台前，对公开征求意见的政策文件草案要同步开展解读，更好引导企业、群众提出意见建议；政策出台时，积极采用撰写解读文章等方式多角度、全方位加强政策解读，主动回应社会关切，合理引导社会预期</w:t>
      </w:r>
      <w:r>
        <w:rPr>
          <w:rFonts w:hint="eastAsia" w:ascii="仿宋_GB2312" w:hAnsi="仿宋_GB2312" w:eastAsia="仿宋_GB2312" w:cs="仿宋_GB2312"/>
          <w:sz w:val="32"/>
          <w:szCs w:val="32"/>
          <w:highlight w:val="none"/>
          <w:lang w:eastAsia="zh-CN"/>
        </w:rPr>
        <w:t>；政策实施后，针对实施过程中产生的新情况、新问题，组织开展二次解读和跟踪解读。</w:t>
      </w:r>
      <w:r>
        <w:rPr>
          <w:rFonts w:hint="eastAsia" w:ascii="仿宋_GB2312" w:hAnsi="仿宋_GB2312" w:eastAsia="仿宋_GB2312" w:cs="仿宋_GB2312"/>
          <w:sz w:val="32"/>
          <w:szCs w:val="32"/>
        </w:rPr>
        <w:t>持续推进政务公开与12345热线融合发展，不断强化“12345热线问答”平台的政策咨询作用。</w:t>
      </w:r>
    </w:p>
    <w:p w14:paraId="5A7807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（六）规范依申请公开办理。</w:t>
      </w:r>
      <w:r>
        <w:rPr>
          <w:rFonts w:hint="eastAsia" w:ascii="仿宋_GB2312" w:hAnsi="仿宋_GB2312" w:eastAsia="仿宋_GB2312" w:cs="仿宋_GB2312"/>
          <w:sz w:val="32"/>
          <w:szCs w:val="32"/>
        </w:rPr>
        <w:t>认真落实依申请公开全流程办理相关规定，畅通受理渠道，完善配套制度，明确各环节工作要求和时限。强化服务理念，注重温情服务，定期组织开展依申请公开联合会商，研究疑难、复杂申请件的办理工作，实质解决申请人的合理诉求。对征地拆迁、城市管理、社会保障、物业管理等高频申请领域，进一步畅通依申请公开受理渠道，积极推动相关政府信息由依申请公开向主动公开转变。根据全市统一安排部署，配合完成全市政府信息依申请公开办理系统建设</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rPr>
        <w:t>工作，进一步规范依申请公开工作流程。</w:t>
      </w:r>
    </w:p>
    <w:p w14:paraId="7F36A6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（七）优化政务公开专区建设。</w:t>
      </w:r>
      <w:r>
        <w:rPr>
          <w:rFonts w:hint="eastAsia" w:ascii="仿宋_GB2312" w:hAnsi="仿宋_GB2312" w:eastAsia="仿宋_GB2312" w:cs="仿宋_GB2312"/>
          <w:sz w:val="32"/>
          <w:szCs w:val="32"/>
        </w:rPr>
        <w:t>按照“节约资源、便民务实”的建设思路，</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政务公开专区</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val="en-US" w:eastAsia="zh-CN"/>
        </w:rPr>
        <w:t>优化</w:t>
      </w:r>
      <w:r>
        <w:rPr>
          <w:rFonts w:hint="eastAsia" w:ascii="仿宋_GB2312" w:hAnsi="仿宋_GB2312" w:eastAsia="仿宋_GB2312" w:cs="仿宋_GB2312"/>
          <w:sz w:val="32"/>
          <w:szCs w:val="32"/>
        </w:rPr>
        <w:t>政府信息查询、信息公开申请、办事咨询答复等服务，积极开展重要政策现场解读、综合政策咨询、办事流程演示等活动，实现政务公开与政务服务深度融合，提高政务公开专区利用率和知晓度。积极推进政务公开专区向大型商场超市、</w:t>
      </w:r>
      <w:r>
        <w:rPr>
          <w:rFonts w:hint="eastAsia" w:ascii="仿宋_GB2312" w:hAnsi="仿宋_GB2312" w:eastAsia="仿宋_GB2312" w:cs="仿宋_GB2312"/>
          <w:sz w:val="32"/>
          <w:szCs w:val="32"/>
          <w:lang w:val="en-US" w:eastAsia="zh-CN"/>
        </w:rPr>
        <w:t>公园广场</w:t>
      </w:r>
      <w:r>
        <w:rPr>
          <w:rFonts w:hint="eastAsia" w:ascii="仿宋_GB2312" w:hAnsi="仿宋_GB2312" w:eastAsia="仿宋_GB2312" w:cs="仿宋_GB2312"/>
          <w:sz w:val="32"/>
          <w:szCs w:val="32"/>
        </w:rPr>
        <w:t>、综合医院等公共场所延伸，提高各级政务公开专区服务质效和为民服务水平。</w:t>
      </w:r>
    </w:p>
    <w:p w14:paraId="16A708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三、深化政企政民互动交流</w:t>
      </w:r>
    </w:p>
    <w:p w14:paraId="709C83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八</w:t>
      </w:r>
      <w:r>
        <w:rPr>
          <w:rFonts w:hint="eastAsia" w:ascii="楷体_GB2312" w:hAnsi="楷体_GB2312" w:eastAsia="楷体_GB2312" w:cs="楷体_GB2312"/>
          <w:spacing w:val="0"/>
          <w:sz w:val="32"/>
          <w:szCs w:val="32"/>
          <w:highlight w:val="none"/>
          <w:lang w:eastAsia="zh-CN"/>
        </w:rPr>
        <w:t>）提升公众参与实效。</w:t>
      </w:r>
      <w:r>
        <w:rPr>
          <w:rFonts w:hint="eastAsia" w:ascii="仿宋_GB2312" w:hAnsi="仿宋_GB2312" w:eastAsia="仿宋_GB2312" w:cs="仿宋_GB2312"/>
          <w:sz w:val="32"/>
          <w:szCs w:val="32"/>
        </w:rPr>
        <w:t>坚持做好重大行政决策事项年度目录公开发布和动态调整工作，健全政策制定公众参与机制。采取征求意见、听证座谈、民意调查等方式，加大政策制定环节公众参与力度；制定涉企政策时，充分听取相关企业和行业协会商会的意见；制定对经济社会发展有重大影响、涉及重大公共利益的政策时，要将公众参与作为决策及执行的必经程序。健全政策执行情况评估机制，围绕政策落实情况、效益满意度、可持续性等因素，开展政策实施效果评价，加强跟踪问效。</w:t>
      </w:r>
    </w:p>
    <w:p w14:paraId="3BAB33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九</w:t>
      </w:r>
      <w:r>
        <w:rPr>
          <w:rFonts w:hint="eastAsia" w:ascii="楷体_GB2312" w:hAnsi="楷体_GB2312" w:eastAsia="楷体_GB2312" w:cs="楷体_GB2312"/>
          <w:spacing w:val="0"/>
          <w:sz w:val="32"/>
          <w:szCs w:val="32"/>
          <w:highlight w:val="none"/>
          <w:lang w:eastAsia="zh-CN"/>
        </w:rPr>
        <w:t>）提升互动交流实效。</w:t>
      </w:r>
      <w:r>
        <w:rPr>
          <w:rFonts w:hint="eastAsia" w:ascii="仿宋_GB2312" w:hAnsi="仿宋_GB2312" w:eastAsia="仿宋_GB2312" w:cs="仿宋_GB2312"/>
          <w:sz w:val="32"/>
          <w:szCs w:val="32"/>
        </w:rPr>
        <w:t>聚焦重大政策解读、民生热点领域，结合</w:t>
      </w:r>
      <w:r>
        <w:rPr>
          <w:rFonts w:hint="eastAsia" w:ascii="仿宋_GB2312" w:hAnsi="仿宋_GB2312" w:eastAsia="仿宋_GB2312" w:cs="仿宋_GB2312"/>
          <w:sz w:val="32"/>
          <w:szCs w:val="32"/>
          <w:lang w:val="en-US" w:eastAsia="zh-CN"/>
        </w:rPr>
        <w:t>本区</w:t>
      </w:r>
      <w:r>
        <w:rPr>
          <w:rFonts w:hint="eastAsia" w:ascii="仿宋_GB2312" w:hAnsi="仿宋_GB2312" w:eastAsia="仿宋_GB2312" w:cs="仿宋_GB2312"/>
          <w:sz w:val="32"/>
          <w:szCs w:val="32"/>
        </w:rPr>
        <w:t>地域特色、部门职能特点以及政务公开品牌建设工作，开展丰富多彩的政府开放活动；鼓励围绕解决重难点问题，开展“问题解决型”政府开放活动。活动开展前，广泛收集企业、群众关心关注的热点、难点问题，采取座谈交流、现场答疑、问卷调查、互动体验等形式，组织面对面交流。</w:t>
      </w:r>
    </w:p>
    <w:p w14:paraId="68B3C2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四、提升政务公开服务质效</w:t>
      </w:r>
    </w:p>
    <w:p w14:paraId="067678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14:ligatures w14:val="standardContextual"/>
        </w:rPr>
      </w:pPr>
      <w:r>
        <w:rPr>
          <w:rFonts w:hint="eastAsia" w:ascii="楷体_GB2312" w:hAnsi="楷体_GB2312" w:eastAsia="楷体_GB2312" w:cs="楷体_GB2312"/>
          <w:spacing w:val="0"/>
          <w:sz w:val="32"/>
          <w:szCs w:val="32"/>
          <w:highlight w:val="none"/>
          <w:lang w:eastAsia="zh-CN"/>
        </w:rPr>
        <w:t>（十）推进政务公开数字化转型。</w:t>
      </w:r>
      <w:r>
        <w:rPr>
          <w:rFonts w:hint="eastAsia" w:ascii="仿宋_GB2312" w:hAnsi="仿宋_GB2312" w:eastAsia="仿宋_GB2312" w:cs="仿宋_GB2312"/>
          <w:sz w:val="32"/>
          <w:szCs w:val="32"/>
          <w14:ligatures w14:val="standardContextual"/>
        </w:rPr>
        <w:t>探索推进人工智能、大数据等新技术应用，构建智能问答、精确查找、办事咨询等政策服务场景。开展惠企政策标准化、</w:t>
      </w:r>
      <w:r>
        <w:rPr>
          <w:rFonts w:hint="eastAsia" w:ascii="仿宋_GB2312" w:hAnsi="仿宋_GB2312" w:eastAsia="仿宋_GB2312" w:cs="仿宋_GB2312"/>
          <w:sz w:val="32"/>
          <w:szCs w:val="32"/>
          <w:lang w:val="en-US" w:eastAsia="zh-CN"/>
          <w14:ligatures w14:val="standardContextual"/>
        </w:rPr>
        <w:t>规范化</w:t>
      </w:r>
      <w:r>
        <w:rPr>
          <w:rFonts w:hint="eastAsia" w:ascii="仿宋_GB2312" w:hAnsi="仿宋_GB2312" w:eastAsia="仿宋_GB2312" w:cs="仿宋_GB2312"/>
          <w:sz w:val="32"/>
          <w:szCs w:val="32"/>
          <w14:ligatures w14:val="standardContextual"/>
        </w:rPr>
        <w:t>拆解，深化惠企利民政策“直达快享”“免申即享”工作。</w:t>
      </w:r>
      <w:r>
        <w:rPr>
          <w:rFonts w:hint="eastAsia" w:ascii="仿宋_GB2312" w:hAnsi="仿宋_GB2312" w:eastAsia="仿宋_GB2312" w:cs="仿宋_GB2312"/>
          <w:sz w:val="32"/>
          <w:szCs w:val="32"/>
          <w:lang w:val="en-US" w:eastAsia="zh-CN"/>
          <w14:ligatures w14:val="standardContextual"/>
        </w:rPr>
        <w:t>配合市级做好</w:t>
      </w:r>
      <w:r>
        <w:rPr>
          <w:rFonts w:hint="eastAsia" w:ascii="仿宋_GB2312" w:hAnsi="仿宋_GB2312" w:eastAsia="仿宋_GB2312" w:cs="仿宋_GB2312"/>
          <w:sz w:val="32"/>
          <w:szCs w:val="32"/>
          <w14:ligatures w14:val="standardContextual"/>
        </w:rPr>
        <w:t>政府网站统一技术平台信息资源库</w:t>
      </w:r>
      <w:r>
        <w:rPr>
          <w:rFonts w:hint="eastAsia" w:ascii="仿宋_GB2312" w:hAnsi="仿宋_GB2312" w:eastAsia="仿宋_GB2312" w:cs="仿宋_GB2312"/>
          <w:sz w:val="32"/>
          <w:szCs w:val="32"/>
          <w:lang w:val="en-US" w:eastAsia="zh-CN"/>
          <w14:ligatures w14:val="standardContextual"/>
        </w:rPr>
        <w:t>建设</w:t>
      </w:r>
      <w:r>
        <w:rPr>
          <w:rFonts w:hint="eastAsia" w:ascii="仿宋_GB2312" w:hAnsi="仿宋_GB2312" w:eastAsia="仿宋_GB2312" w:cs="仿宋_GB2312"/>
          <w:sz w:val="32"/>
          <w:szCs w:val="32"/>
          <w14:ligatures w14:val="standardContextual"/>
        </w:rPr>
        <w:t>，实现</w:t>
      </w:r>
      <w:bookmarkStart w:id="3" w:name="OLE_LINK10"/>
      <w:r>
        <w:rPr>
          <w:rFonts w:hint="eastAsia" w:ascii="仿宋_GB2312" w:hAnsi="仿宋_GB2312" w:eastAsia="仿宋_GB2312" w:cs="仿宋_GB2312"/>
          <w:sz w:val="32"/>
          <w:szCs w:val="32"/>
          <w14:ligatures w14:val="standardContextual"/>
        </w:rPr>
        <w:t>交互体验与服务模式的创新提升</w:t>
      </w:r>
      <w:bookmarkEnd w:id="3"/>
      <w:r>
        <w:rPr>
          <w:rFonts w:hint="eastAsia" w:ascii="仿宋_GB2312" w:hAnsi="仿宋_GB2312" w:eastAsia="仿宋_GB2312" w:cs="仿宋_GB2312"/>
          <w:sz w:val="32"/>
          <w:szCs w:val="32"/>
          <w14:ligatures w14:val="standardContextual"/>
        </w:rPr>
        <w:t>，向社会公众提供更高效、精准、便捷的信息检索服务。</w:t>
      </w:r>
    </w:p>
    <w:p w14:paraId="367B54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（十</w:t>
      </w:r>
      <w:r>
        <w:rPr>
          <w:rFonts w:hint="eastAsia" w:ascii="楷体_GB2312" w:hAnsi="楷体_GB2312" w:eastAsia="楷体_GB2312" w:cs="楷体_GB2312"/>
          <w:spacing w:val="0"/>
          <w:sz w:val="32"/>
          <w:szCs w:val="32"/>
          <w:highlight w:val="none"/>
          <w:lang w:val="en-US" w:eastAsia="zh-CN"/>
        </w:rPr>
        <w:t>一</w:t>
      </w:r>
      <w:r>
        <w:rPr>
          <w:rFonts w:hint="eastAsia" w:ascii="楷体_GB2312" w:hAnsi="楷体_GB2312" w:eastAsia="楷体_GB2312" w:cs="楷体_GB2312"/>
          <w:spacing w:val="0"/>
          <w:sz w:val="32"/>
          <w:szCs w:val="32"/>
          <w:highlight w:val="none"/>
          <w:lang w:eastAsia="zh-CN"/>
        </w:rPr>
        <w:t>）优化政策发布机制。</w:t>
      </w:r>
      <w:r>
        <w:rPr>
          <w:rFonts w:hint="eastAsia" w:ascii="仿宋_GB2312" w:hAnsi="仿宋_GB2312" w:eastAsia="仿宋_GB2312" w:cs="仿宋_GB2312"/>
          <w:sz w:val="32"/>
          <w:szCs w:val="32"/>
          <w:lang w:val="en-US" w:eastAsia="zh-CN"/>
        </w:rPr>
        <w:t>配合市级做好</w:t>
      </w:r>
      <w:r>
        <w:rPr>
          <w:rFonts w:hint="eastAsia" w:ascii="仿宋_GB2312" w:hAnsi="仿宋_GB2312" w:eastAsia="仿宋_GB2312" w:cs="仿宋_GB2312"/>
          <w:sz w:val="32"/>
          <w:szCs w:val="32"/>
        </w:rPr>
        <w:t>政策集中发布平台建设，</w:t>
      </w:r>
      <w:r>
        <w:rPr>
          <w:rFonts w:hint="eastAsia" w:ascii="仿宋_GB2312" w:hAnsi="仿宋_GB2312" w:eastAsia="仿宋_GB2312" w:cs="仿宋_GB2312"/>
          <w:sz w:val="32"/>
          <w:szCs w:val="32"/>
          <w:lang w:val="en-US" w:eastAsia="zh-CN"/>
        </w:rPr>
        <w:t>配合做好</w:t>
      </w:r>
      <w:r>
        <w:rPr>
          <w:rFonts w:hint="eastAsia" w:ascii="仿宋_GB2312" w:hAnsi="仿宋_GB2312" w:eastAsia="仿宋_GB2312" w:cs="仿宋_GB2312"/>
          <w:sz w:val="32"/>
          <w:szCs w:val="32"/>
        </w:rPr>
        <w:t>分类分级、集中统一、共享共用、动态更新的</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rPr>
        <w:t>区县政策文件集中发布平台，强化政府网站政策数据同源管理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入库文件质量，确保收录文件全量覆盖、内容要素齐全、格式文本规范、动态更新及时、检索查询便利，健全完善日常运维和动态更新机制。在集中公开现行有效的行政规范性文件和其他文件并动态更新的基础上，增加历次修订文本，实现现行有效文件和历次修订文本的关联展示，全面展现历史沿革。选取部分企业群众关注度高、办事需求大、政策汇集面广的领域，实施跨层级、跨部门的政策集成式发布和一站式公开。</w:t>
      </w:r>
    </w:p>
    <w:p w14:paraId="726AE7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（十</w:t>
      </w:r>
      <w:r>
        <w:rPr>
          <w:rFonts w:hint="eastAsia" w:ascii="楷体_GB2312" w:hAnsi="楷体_GB2312" w:eastAsia="楷体_GB2312" w:cs="楷体_GB2312"/>
          <w:spacing w:val="0"/>
          <w:sz w:val="32"/>
          <w:szCs w:val="32"/>
          <w:highlight w:val="none"/>
          <w:lang w:val="en-US" w:eastAsia="zh-CN"/>
        </w:rPr>
        <w:t>二</w:t>
      </w:r>
      <w:r>
        <w:rPr>
          <w:rFonts w:hint="eastAsia" w:ascii="楷体_GB2312" w:hAnsi="楷体_GB2312" w:eastAsia="楷体_GB2312" w:cs="楷体_GB2312"/>
          <w:spacing w:val="0"/>
          <w:sz w:val="32"/>
          <w:szCs w:val="32"/>
          <w:highlight w:val="none"/>
          <w:lang w:eastAsia="zh-CN"/>
        </w:rPr>
        <w:t>）加强政务公开平台建设。</w:t>
      </w:r>
      <w:r>
        <w:rPr>
          <w:rFonts w:hint="eastAsia" w:ascii="仿宋_GB2312" w:hAnsi="仿宋_GB2312" w:eastAsia="仿宋_GB2312" w:cs="仿宋_GB2312"/>
          <w:sz w:val="32"/>
          <w:szCs w:val="32"/>
        </w:rPr>
        <w:t>探索引入新技术，做好门户网站管理运维和内容保障工作，加强规范管理、协同联动、融合发展，持续提升政府网站和政务新媒体集约化建设水平。</w:t>
      </w:r>
      <w:r>
        <w:rPr>
          <w:rFonts w:hint="eastAsia" w:ascii="仿宋_GB2312" w:hAnsi="仿宋_GB2312" w:eastAsia="仿宋_GB2312" w:cs="仿宋_GB2312"/>
          <w:sz w:val="32"/>
          <w:szCs w:val="32"/>
          <w:lang w:val="en-US" w:eastAsia="zh-CN"/>
        </w:rPr>
        <w:t>充分利用好全市</w:t>
      </w:r>
      <w:r>
        <w:rPr>
          <w:rFonts w:hint="eastAsia" w:ascii="仿宋_GB2312" w:hAnsi="仿宋_GB2312" w:eastAsia="仿宋_GB2312" w:cs="仿宋_GB2312"/>
          <w:sz w:val="32"/>
          <w:szCs w:val="32"/>
        </w:rPr>
        <w:t>政府网站和政务新媒体数字化监管平台，完善政务新媒体开设、备案、变更、检查、监管、关停、注销等工作流程和制度，建立重大事项沟通交流和问题处置协调联动机制。持续整治数字形式主义，深化政务新媒体“瘦身提质”，做大做强主账号，培育优质精品账号。严格落实信息发布“三审三校”制度，强化日常监管和季度检查，做好“我为政府网站找错”留言办理答复、重要信息转发等工作。</w:t>
      </w:r>
      <w:r>
        <w:rPr>
          <w:rFonts w:hint="eastAsia" w:ascii="仿宋_GB2312" w:hAnsi="仿宋_GB2312" w:eastAsia="仿宋_GB2312" w:cs="仿宋_GB2312"/>
          <w:sz w:val="32"/>
          <w:szCs w:val="32"/>
          <w:lang w:val="en-US" w:eastAsia="zh-CN"/>
        </w:rPr>
        <w:t>办公室要牵头相关部门</w:t>
      </w:r>
      <w:r>
        <w:rPr>
          <w:rFonts w:hint="eastAsia" w:ascii="仿宋_GB2312" w:hAnsi="仿宋_GB2312" w:eastAsia="仿宋_GB2312" w:cs="仿宋_GB2312"/>
          <w:sz w:val="32"/>
          <w:szCs w:val="32"/>
        </w:rPr>
        <w:t>对照主动公开事项目录，及时调整完善政府网站法定主动公开内容有关栏目。</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已公开信息安全巡查，及时清理不需要长期保留和不具备实际效用的信息。</w:t>
      </w:r>
    </w:p>
    <w:p w14:paraId="7F7839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五、强化政务公开工作保障</w:t>
      </w:r>
    </w:p>
    <w:p w14:paraId="38E412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（十</w:t>
      </w:r>
      <w:r>
        <w:rPr>
          <w:rFonts w:hint="eastAsia" w:ascii="楷体_GB2312" w:hAnsi="楷体_GB2312" w:eastAsia="楷体_GB2312" w:cs="楷体_GB2312"/>
          <w:spacing w:val="0"/>
          <w:sz w:val="32"/>
          <w:szCs w:val="32"/>
          <w:highlight w:val="none"/>
          <w:lang w:val="en-US" w:eastAsia="zh-CN"/>
        </w:rPr>
        <w:t>三</w:t>
      </w:r>
      <w:r>
        <w:rPr>
          <w:rFonts w:hint="eastAsia" w:ascii="楷体_GB2312" w:hAnsi="楷体_GB2312" w:eastAsia="楷体_GB2312" w:cs="楷体_GB2312"/>
          <w:spacing w:val="0"/>
          <w:sz w:val="32"/>
          <w:szCs w:val="32"/>
          <w:highlight w:val="none"/>
          <w:lang w:eastAsia="zh-CN"/>
        </w:rPr>
        <w:t>）加强组织领导。</w:t>
      </w:r>
      <w:r>
        <w:rPr>
          <w:rFonts w:hint="eastAsia" w:ascii="仿宋_GB2312" w:hAnsi="仿宋_GB2312" w:eastAsia="仿宋_GB2312" w:cs="仿宋_GB2312"/>
          <w:sz w:val="32"/>
          <w:szCs w:val="32"/>
        </w:rPr>
        <w:t>各部门（单位）要提高政治站位，强化政治担当，切实增强做好新时代政务公开工作的责任感与使命感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统筹发挥好综合室（党政</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办公室、办公室，以下简称综合业务部门）牵头调度、协调、指导、督促落实作用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认真履行政务公开工作职责，完善相关制度，配强配齐人员力量，切实保障各项工作落实到位。</w:t>
      </w:r>
    </w:p>
    <w:p w14:paraId="3089CC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（十</w:t>
      </w:r>
      <w:r>
        <w:rPr>
          <w:rFonts w:hint="eastAsia" w:ascii="楷体_GB2312" w:hAnsi="楷体_GB2312" w:eastAsia="楷体_GB2312" w:cs="楷体_GB2312"/>
          <w:spacing w:val="0"/>
          <w:sz w:val="32"/>
          <w:szCs w:val="32"/>
          <w:highlight w:val="none"/>
          <w:lang w:val="en-US" w:eastAsia="zh-CN"/>
        </w:rPr>
        <w:t>四</w:t>
      </w:r>
      <w:r>
        <w:rPr>
          <w:rFonts w:hint="eastAsia" w:ascii="楷体_GB2312" w:hAnsi="楷体_GB2312" w:eastAsia="楷体_GB2312" w:cs="楷体_GB2312"/>
          <w:spacing w:val="0"/>
          <w:sz w:val="32"/>
          <w:szCs w:val="32"/>
          <w:highlight w:val="none"/>
          <w:lang w:eastAsia="zh-CN"/>
        </w:rPr>
        <w:t>）强化业务培训。</w:t>
      </w:r>
      <w:r>
        <w:rPr>
          <w:rFonts w:hint="eastAsia" w:ascii="仿宋_GB2312" w:hAnsi="仿宋_GB2312" w:eastAsia="仿宋_GB2312" w:cs="仿宋_GB2312"/>
          <w:sz w:val="32"/>
          <w:szCs w:val="32"/>
          <w:lang w:val="en-US" w:eastAsia="zh-CN"/>
        </w:rPr>
        <w:t>办公室要组织开展业务培训，做好政务公开有关行政法规、工作制度、知识技能的学习培训，切实提高工作人员专业能力。</w:t>
      </w:r>
      <w:r>
        <w:rPr>
          <w:rFonts w:hint="eastAsia" w:ascii="仿宋_GB2312" w:hAnsi="仿宋_GB2312" w:eastAsia="仿宋_GB2312" w:cs="仿宋_GB2312"/>
          <w:sz w:val="32"/>
          <w:szCs w:val="32"/>
        </w:rPr>
        <w:t>各部门（单位）要积极参加政务公开专题业务培训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聚焦主动公开、依申请公开、政策解读等重点工作，深入挖掘典型案例。鼓励各部门（单位）到</w:t>
      </w:r>
      <w:r>
        <w:rPr>
          <w:rFonts w:hint="eastAsia" w:ascii="仿宋_GB2312" w:hAnsi="仿宋_GB2312" w:eastAsia="仿宋_GB2312" w:cs="仿宋_GB2312"/>
          <w:sz w:val="32"/>
          <w:szCs w:val="32"/>
          <w:lang w:val="en-US" w:eastAsia="zh-CN"/>
        </w:rPr>
        <w:t>业务对应的</w:t>
      </w:r>
      <w:r>
        <w:rPr>
          <w:rFonts w:hint="eastAsia" w:ascii="仿宋_GB2312" w:hAnsi="仿宋_GB2312" w:eastAsia="仿宋_GB2312" w:cs="仿宋_GB2312"/>
          <w:sz w:val="32"/>
          <w:szCs w:val="32"/>
        </w:rPr>
        <w:t>先进地区和基层一线调研学习，找差距、知不足，总结提炼经验，促进整体水平提升。</w:t>
      </w:r>
    </w:p>
    <w:p w14:paraId="52B497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（十</w:t>
      </w:r>
      <w:r>
        <w:rPr>
          <w:rFonts w:hint="eastAsia" w:ascii="楷体_GB2312" w:hAnsi="楷体_GB2312" w:eastAsia="楷体_GB2312" w:cs="楷体_GB2312"/>
          <w:spacing w:val="0"/>
          <w:sz w:val="32"/>
          <w:szCs w:val="32"/>
          <w:highlight w:val="none"/>
          <w:lang w:val="en-US" w:eastAsia="zh-CN"/>
        </w:rPr>
        <w:t>五</w:t>
      </w:r>
      <w:r>
        <w:rPr>
          <w:rFonts w:hint="eastAsia" w:ascii="楷体_GB2312" w:hAnsi="楷体_GB2312" w:eastAsia="楷体_GB2312" w:cs="楷体_GB2312"/>
          <w:spacing w:val="0"/>
          <w:sz w:val="32"/>
          <w:szCs w:val="32"/>
          <w:highlight w:val="none"/>
          <w:lang w:eastAsia="zh-CN"/>
        </w:rPr>
        <w:t>）落实监督问效。</w:t>
      </w:r>
      <w:r>
        <w:rPr>
          <w:rFonts w:hint="eastAsia" w:ascii="仿宋_GB2312" w:hAnsi="仿宋_GB2312" w:eastAsia="仿宋_GB2312" w:cs="仿宋_GB2312"/>
          <w:sz w:val="32"/>
          <w:szCs w:val="32"/>
        </w:rPr>
        <w:t>严格落实“日常监管、问题整改、督查督办、监测问效”工作机制，综合业务部门</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动态掌握任务落实情况。</w:t>
      </w:r>
      <w:r>
        <w:rPr>
          <w:rFonts w:hint="eastAsia" w:ascii="仿宋_GB2312" w:hAnsi="仿宋_GB2312" w:eastAsia="仿宋_GB2312" w:cs="仿宋_GB2312"/>
          <w:sz w:val="32"/>
          <w:szCs w:val="32"/>
          <w:lang w:val="en-US" w:eastAsia="zh-CN"/>
        </w:rPr>
        <w:t>办公室将</w:t>
      </w:r>
      <w:r>
        <w:rPr>
          <w:rFonts w:hint="eastAsia" w:ascii="仿宋_GB2312" w:hAnsi="仿宋_GB2312" w:eastAsia="仿宋_GB2312" w:cs="仿宋_GB2312"/>
          <w:sz w:val="32"/>
          <w:szCs w:val="32"/>
        </w:rPr>
        <w:t>组织开展政务公开</w:t>
      </w:r>
      <w:r>
        <w:rPr>
          <w:rFonts w:hint="eastAsia" w:ascii="仿宋_GB2312" w:hAnsi="仿宋_GB2312" w:eastAsia="仿宋_GB2312" w:cs="仿宋_GB2312"/>
          <w:sz w:val="32"/>
          <w:szCs w:val="32"/>
          <w:lang w:val="en-US" w:eastAsia="zh-CN"/>
        </w:rPr>
        <w:t>季度</w:t>
      </w:r>
      <w:r>
        <w:rPr>
          <w:rFonts w:hint="eastAsia" w:ascii="仿宋_GB2312" w:hAnsi="仿宋_GB2312" w:eastAsia="仿宋_GB2312" w:cs="仿宋_GB2312"/>
          <w:sz w:val="32"/>
          <w:szCs w:val="32"/>
        </w:rPr>
        <w:t>效能监测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建立健全长效机制，</w:t>
      </w:r>
      <w:r>
        <w:rPr>
          <w:rFonts w:hint="eastAsia" w:ascii="仿宋_GB2312" w:hAnsi="仿宋_GB2312" w:eastAsia="仿宋_GB2312" w:cs="仿宋_GB2312"/>
          <w:sz w:val="32"/>
          <w:szCs w:val="32"/>
        </w:rPr>
        <w:t>综合运用日常监管、明察暗访、通报约谈等方式方法，督促指导各部门（单位）</w:t>
      </w:r>
      <w:r>
        <w:rPr>
          <w:rFonts w:hint="eastAsia" w:ascii="仿宋_GB2312" w:hAnsi="仿宋_GB2312" w:eastAsia="仿宋_GB2312" w:cs="仿宋_GB2312"/>
          <w:kern w:val="0"/>
          <w:sz w:val="32"/>
          <w:szCs w:val="32"/>
        </w:rPr>
        <w:t>做好效能监测指标与日常工作</w:t>
      </w:r>
      <w:r>
        <w:rPr>
          <w:rFonts w:hint="eastAsia" w:ascii="仿宋_GB2312" w:hAnsi="仿宋_GB2312" w:eastAsia="仿宋_GB2312" w:cs="仿宋_GB2312"/>
          <w:sz w:val="32"/>
          <w:szCs w:val="32"/>
        </w:rPr>
        <w:t>有机融合、有序推进。</w:t>
      </w:r>
    </w:p>
    <w:p w14:paraId="60B43F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0"/>
          <w:sz w:val="32"/>
          <w:szCs w:val="32"/>
          <w:highlight w:val="none"/>
          <w:lang w:eastAsia="zh-CN"/>
        </w:rPr>
        <w:t>（十</w:t>
      </w:r>
      <w:r>
        <w:rPr>
          <w:rFonts w:hint="eastAsia" w:ascii="楷体_GB2312" w:hAnsi="楷体_GB2312" w:eastAsia="楷体_GB2312" w:cs="楷体_GB2312"/>
          <w:spacing w:val="0"/>
          <w:sz w:val="32"/>
          <w:szCs w:val="32"/>
          <w:highlight w:val="none"/>
          <w:lang w:val="en-US" w:eastAsia="zh-CN"/>
        </w:rPr>
        <w:t>六</w:t>
      </w:r>
      <w:r>
        <w:rPr>
          <w:rFonts w:hint="eastAsia" w:ascii="楷体_GB2312" w:hAnsi="楷体_GB2312" w:eastAsia="楷体_GB2312" w:cs="楷体_GB2312"/>
          <w:spacing w:val="0"/>
          <w:sz w:val="32"/>
          <w:szCs w:val="32"/>
          <w:highlight w:val="none"/>
          <w:lang w:eastAsia="zh-CN"/>
        </w:rPr>
        <w:t>）推进品牌建设。</w:t>
      </w:r>
      <w:r>
        <w:rPr>
          <w:rFonts w:hint="eastAsia" w:ascii="仿宋_GB2312" w:hAnsi="仿宋_GB2312" w:eastAsia="仿宋_GB2312" w:cs="仿宋_GB2312"/>
          <w:sz w:val="32"/>
          <w:szCs w:val="32"/>
        </w:rPr>
        <w:t>加强理论研究，及时总结经验、改进工作，鼓励各部门（单位）在国家、省级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主流媒体平台宣传推广本地区、本领域政务公开亮点工作和创新举措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积极参与</w:t>
      </w:r>
      <w:r>
        <w:rPr>
          <w:rFonts w:hint="eastAsia" w:ascii="仿宋_GB2312" w:hAnsi="仿宋_GB2312" w:eastAsia="仿宋_GB2312" w:cs="仿宋_GB2312"/>
          <w:sz w:val="32"/>
          <w:szCs w:val="32"/>
        </w:rPr>
        <w:t>政策解读、政府开放、数字化转型等方面优秀案例评选活动。做好典型经验提炼和特色专区建设，</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培育</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政务公开品牌。</w:t>
      </w:r>
    </w:p>
    <w:p w14:paraId="65AED9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0171C278">
      <w:pPr>
        <w:keepNext w:val="0"/>
        <w:keepLines w:val="0"/>
        <w:pageBreakBefore w:val="0"/>
        <w:widowControl w:val="0"/>
        <w:shd w:val="clear"/>
        <w:kinsoku/>
        <w:wordWrap/>
        <w:overflowPunct/>
        <w:topLinePunct w:val="0"/>
        <w:autoSpaceDE/>
        <w:autoSpaceDN/>
        <w:bidi w:val="0"/>
        <w:adjustRightInd/>
        <w:snapToGrid/>
        <w:spacing w:after="0" w:line="579" w:lineRule="exact"/>
        <w:ind w:left="1598" w:leftChars="304" w:hanging="960" w:hangingChars="3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附件：济南新旧动能转换起步区2025年政务公开优化提升工作任务清单</w:t>
      </w:r>
    </w:p>
    <w:p w14:paraId="79E538A1">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0" w:firstLineChars="200"/>
        <w:jc w:val="both"/>
        <w:textAlignment w:val="auto"/>
        <w:rPr>
          <w:rFonts w:hint="eastAsia" w:ascii="仿宋_GB2312" w:hAnsi="仿宋_GB2312" w:eastAsia="仿宋_GB2312" w:cs="仿宋_GB2312"/>
          <w:spacing w:val="0"/>
          <w:sz w:val="32"/>
          <w:szCs w:val="32"/>
          <w:lang w:val="zh-CN"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0151A93">
      <w:pPr>
        <w:keepNext w:val="0"/>
        <w:keepLines w:val="0"/>
        <w:pageBreakBefore w:val="0"/>
        <w:shd w:val="clear"/>
        <w:wordWrap/>
        <w:overflowPunct/>
        <w:topLinePunct w:val="0"/>
        <w:bidi w:val="0"/>
        <w:spacing w:line="579" w:lineRule="exact"/>
        <w:jc w:val="left"/>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w:t>
      </w:r>
    </w:p>
    <w:p w14:paraId="40F119D0">
      <w:pPr>
        <w:keepNext w:val="0"/>
        <w:keepLines w:val="0"/>
        <w:pageBreakBefore w:val="0"/>
        <w:widowControl w:val="0"/>
        <w:shd w:val="clear"/>
        <w:kinsoku/>
        <w:wordWrap/>
        <w:overflowPunct/>
        <w:topLinePunct w:val="0"/>
        <w:autoSpaceDE/>
        <w:autoSpaceDN/>
        <w:bidi w:val="0"/>
        <w:adjustRightInd/>
        <w:snapToGrid/>
        <w:spacing w:before="323" w:beforeLines="100" w:line="579"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济南</w:t>
      </w:r>
      <w:r>
        <w:rPr>
          <w:rFonts w:hint="eastAsia" w:ascii="方正小标宋简体" w:hAnsi="方正小标宋简体" w:eastAsia="方正小标宋简体" w:cs="方正小标宋简体"/>
          <w:spacing w:val="0"/>
          <w:sz w:val="44"/>
          <w:szCs w:val="44"/>
          <w:lang w:val="en-US" w:eastAsia="zh-CN"/>
        </w:rPr>
        <w:t>新旧动能转换起步区</w:t>
      </w:r>
      <w:r>
        <w:rPr>
          <w:rFonts w:hint="eastAsia" w:ascii="方正小标宋简体" w:hAnsi="方正小标宋简体" w:eastAsia="方正小标宋简体" w:cs="方正小标宋简体"/>
          <w:spacing w:val="0"/>
          <w:sz w:val="44"/>
          <w:szCs w:val="44"/>
          <w:lang w:eastAsia="zh-CN"/>
        </w:rPr>
        <w:t>202</w:t>
      </w:r>
      <w:r>
        <w:rPr>
          <w:rFonts w:hint="eastAsia" w:ascii="方正小标宋简体" w:hAnsi="方正小标宋简体" w:eastAsia="方正小标宋简体" w:cs="方正小标宋简体"/>
          <w:spacing w:val="0"/>
          <w:sz w:val="44"/>
          <w:szCs w:val="44"/>
          <w:lang w:val="en-US" w:eastAsia="zh-CN"/>
        </w:rPr>
        <w:t>5</w:t>
      </w:r>
      <w:r>
        <w:rPr>
          <w:rFonts w:hint="eastAsia" w:ascii="方正小标宋简体" w:hAnsi="方正小标宋简体" w:eastAsia="方正小标宋简体" w:cs="方正小标宋简体"/>
          <w:spacing w:val="0"/>
          <w:sz w:val="44"/>
          <w:szCs w:val="44"/>
        </w:rPr>
        <w:t>年政务公开优化提升</w:t>
      </w:r>
      <w:r>
        <w:rPr>
          <w:rFonts w:hint="eastAsia" w:ascii="方正小标宋简体" w:hAnsi="方正小标宋简体" w:eastAsia="方正小标宋简体" w:cs="方正小标宋简体"/>
          <w:spacing w:val="0"/>
          <w:sz w:val="44"/>
          <w:szCs w:val="44"/>
          <w:lang w:val="en-US" w:eastAsia="zh-CN"/>
        </w:rPr>
        <w:t>工作</w:t>
      </w:r>
      <w:r>
        <w:rPr>
          <w:rFonts w:hint="eastAsia" w:ascii="方正小标宋简体" w:hAnsi="方正小标宋简体" w:eastAsia="方正小标宋简体" w:cs="方正小标宋简体"/>
          <w:spacing w:val="0"/>
          <w:sz w:val="44"/>
          <w:szCs w:val="44"/>
        </w:rPr>
        <w:t>任务清单</w:t>
      </w:r>
    </w:p>
    <w:p w14:paraId="0E4A136F">
      <w:pPr>
        <w:pStyle w:val="10"/>
        <w:rPr>
          <w:rFonts w:hint="default"/>
          <w:lang w:val="en-US" w:eastAsia="zh-CN"/>
        </w:rPr>
      </w:pPr>
    </w:p>
    <w:tbl>
      <w:tblPr>
        <w:tblStyle w:val="11"/>
        <w:tblW w:w="14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7"/>
        <w:gridCol w:w="1222"/>
        <w:gridCol w:w="1264"/>
        <w:gridCol w:w="1800"/>
        <w:gridCol w:w="7500"/>
        <w:gridCol w:w="1501"/>
      </w:tblGrid>
      <w:tr w14:paraId="0438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307" w:type="dxa"/>
            <w:shd w:val="clear" w:color="auto" w:fill="auto"/>
            <w:vAlign w:val="center"/>
          </w:tcPr>
          <w:p w14:paraId="0CBB907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黑体" w:hAnsi="黑体" w:eastAsia="黑体" w:cs="宋体"/>
                <w:color w:val="auto"/>
                <w:kern w:val="0"/>
                <w:sz w:val="24"/>
                <w:szCs w:val="21"/>
                <w:lang w:eastAsia="zh-CN"/>
              </w:rPr>
            </w:pPr>
            <w:r>
              <w:rPr>
                <w:rFonts w:hint="eastAsia" w:ascii="黑体" w:hAnsi="黑体" w:eastAsia="黑体" w:cs="宋体"/>
                <w:color w:val="auto"/>
                <w:kern w:val="0"/>
                <w:sz w:val="24"/>
                <w:szCs w:val="21"/>
                <w:lang w:val="en-US" w:eastAsia="zh-CN"/>
              </w:rPr>
              <w:t>类型</w:t>
            </w:r>
          </w:p>
        </w:tc>
        <w:tc>
          <w:tcPr>
            <w:tcW w:w="1222" w:type="dxa"/>
            <w:shd w:val="clear" w:color="auto" w:fill="auto"/>
            <w:vAlign w:val="center"/>
          </w:tcPr>
          <w:p w14:paraId="18509F7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黑体" w:hAnsi="黑体" w:eastAsia="黑体" w:cs="宋体"/>
                <w:color w:val="auto"/>
                <w:kern w:val="0"/>
                <w:sz w:val="24"/>
                <w:szCs w:val="21"/>
                <w:lang w:val="en-US" w:eastAsia="zh-CN"/>
              </w:rPr>
            </w:pPr>
            <w:r>
              <w:rPr>
                <w:rFonts w:hint="eastAsia" w:ascii="黑体" w:hAnsi="黑体" w:eastAsia="黑体" w:cs="宋体"/>
                <w:color w:val="auto"/>
                <w:kern w:val="0"/>
                <w:sz w:val="24"/>
                <w:szCs w:val="21"/>
                <w:lang w:val="en-US" w:eastAsia="zh-CN"/>
              </w:rPr>
              <w:t>一级事项</w:t>
            </w:r>
          </w:p>
        </w:tc>
        <w:tc>
          <w:tcPr>
            <w:tcW w:w="1264" w:type="dxa"/>
            <w:shd w:val="clear" w:color="auto" w:fill="auto"/>
            <w:vAlign w:val="center"/>
          </w:tcPr>
          <w:p w14:paraId="4214CED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黑体" w:hAnsi="黑体" w:eastAsia="黑体" w:cs="宋体"/>
                <w:color w:val="auto"/>
                <w:kern w:val="0"/>
                <w:sz w:val="24"/>
                <w:szCs w:val="21"/>
                <w:lang w:val="en-US" w:eastAsia="zh-CN"/>
              </w:rPr>
            </w:pPr>
            <w:r>
              <w:rPr>
                <w:rFonts w:hint="eastAsia" w:ascii="黑体" w:hAnsi="黑体" w:eastAsia="黑体" w:cs="宋体"/>
                <w:color w:val="auto"/>
                <w:kern w:val="0"/>
                <w:sz w:val="24"/>
                <w:szCs w:val="21"/>
                <w:lang w:val="en-US" w:eastAsia="zh-CN"/>
              </w:rPr>
              <w:t>二级事项</w:t>
            </w:r>
          </w:p>
        </w:tc>
        <w:tc>
          <w:tcPr>
            <w:tcW w:w="1800" w:type="dxa"/>
            <w:shd w:val="clear" w:color="auto" w:fill="auto"/>
            <w:vAlign w:val="center"/>
          </w:tcPr>
          <w:p w14:paraId="4567AA2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黑体" w:hAnsi="黑体" w:eastAsia="黑体" w:cs="宋体"/>
                <w:color w:val="auto"/>
                <w:kern w:val="0"/>
                <w:sz w:val="24"/>
                <w:szCs w:val="21"/>
                <w:lang w:val="en-US" w:eastAsia="zh-CN"/>
              </w:rPr>
            </w:pPr>
            <w:r>
              <w:rPr>
                <w:rFonts w:hint="eastAsia" w:ascii="黑体" w:hAnsi="黑体" w:eastAsia="黑体" w:cs="宋体"/>
                <w:color w:val="auto"/>
                <w:kern w:val="0"/>
                <w:sz w:val="24"/>
                <w:szCs w:val="21"/>
                <w:lang w:val="en-US" w:eastAsia="zh-CN"/>
              </w:rPr>
              <w:t>三级事项</w:t>
            </w:r>
          </w:p>
        </w:tc>
        <w:tc>
          <w:tcPr>
            <w:tcW w:w="7500" w:type="dxa"/>
            <w:shd w:val="clear" w:color="auto" w:fill="auto"/>
            <w:vAlign w:val="center"/>
          </w:tcPr>
          <w:p w14:paraId="562245A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黑体" w:hAnsi="黑体" w:eastAsia="黑体" w:cs="宋体"/>
                <w:color w:val="auto"/>
                <w:kern w:val="0"/>
                <w:sz w:val="24"/>
                <w:szCs w:val="21"/>
                <w:lang w:val="en-US" w:eastAsia="zh-CN"/>
              </w:rPr>
            </w:pPr>
            <w:r>
              <w:rPr>
                <w:rFonts w:hint="eastAsia" w:ascii="黑体" w:hAnsi="黑体" w:eastAsia="黑体" w:cs="宋体"/>
                <w:color w:val="auto"/>
                <w:kern w:val="0"/>
                <w:sz w:val="24"/>
                <w:szCs w:val="21"/>
                <w:lang w:val="en-US" w:eastAsia="zh-CN"/>
              </w:rPr>
              <w:t>具体要求</w:t>
            </w:r>
          </w:p>
        </w:tc>
        <w:tc>
          <w:tcPr>
            <w:tcW w:w="1501" w:type="dxa"/>
            <w:shd w:val="clear" w:color="auto" w:fill="auto"/>
            <w:vAlign w:val="center"/>
          </w:tcPr>
          <w:p w14:paraId="7F2EF0B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黑体" w:hAnsi="黑体" w:eastAsia="黑体" w:cs="宋体"/>
                <w:color w:val="auto"/>
                <w:kern w:val="0"/>
                <w:sz w:val="24"/>
                <w:szCs w:val="21"/>
                <w:lang w:val="en-US" w:eastAsia="zh-CN"/>
              </w:rPr>
            </w:pPr>
            <w:r>
              <w:rPr>
                <w:rFonts w:hint="eastAsia" w:ascii="黑体" w:hAnsi="黑体" w:eastAsia="黑体" w:cs="宋体"/>
                <w:color w:val="auto"/>
                <w:kern w:val="0"/>
                <w:sz w:val="24"/>
                <w:szCs w:val="21"/>
                <w:lang w:val="en-US" w:eastAsia="zh-CN"/>
              </w:rPr>
              <w:t>责任单位</w:t>
            </w:r>
          </w:p>
        </w:tc>
      </w:tr>
      <w:tr w14:paraId="5185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307" w:type="dxa"/>
            <w:vMerge w:val="restart"/>
            <w:shd w:val="clear" w:color="auto" w:fill="auto"/>
            <w:vAlign w:val="center"/>
          </w:tcPr>
          <w:p w14:paraId="7BF596F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0907019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法定基础信息</w:t>
            </w:r>
          </w:p>
        </w:tc>
        <w:tc>
          <w:tcPr>
            <w:tcW w:w="1264" w:type="dxa"/>
            <w:vMerge w:val="restart"/>
            <w:shd w:val="clear" w:color="auto" w:fill="auto"/>
            <w:vAlign w:val="center"/>
          </w:tcPr>
          <w:p w14:paraId="7A606A4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行政规范性文件</w:t>
            </w:r>
          </w:p>
        </w:tc>
        <w:tc>
          <w:tcPr>
            <w:tcW w:w="1800" w:type="dxa"/>
            <w:vMerge w:val="restart"/>
            <w:shd w:val="clear" w:color="auto" w:fill="auto"/>
            <w:vAlign w:val="center"/>
          </w:tcPr>
          <w:p w14:paraId="3280D19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发布情况</w:t>
            </w:r>
          </w:p>
        </w:tc>
        <w:tc>
          <w:tcPr>
            <w:tcW w:w="7500" w:type="dxa"/>
            <w:shd w:val="clear" w:color="auto" w:fill="auto"/>
            <w:vAlign w:val="center"/>
          </w:tcPr>
          <w:p w14:paraId="1A6B157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是否在政府网站政府信息公开专栏中集中发布</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及部门行政规范性文件</w:t>
            </w:r>
          </w:p>
        </w:tc>
        <w:tc>
          <w:tcPr>
            <w:tcW w:w="1501" w:type="dxa"/>
            <w:vMerge w:val="restart"/>
            <w:shd w:val="clear" w:color="auto" w:fill="auto"/>
            <w:vAlign w:val="center"/>
          </w:tcPr>
          <w:p w14:paraId="6C47378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p w14:paraId="06000D7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相关职能部门</w:t>
            </w:r>
          </w:p>
        </w:tc>
      </w:tr>
      <w:tr w14:paraId="46C6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07" w:type="dxa"/>
            <w:vMerge w:val="continue"/>
            <w:shd w:val="clear" w:color="auto" w:fill="auto"/>
            <w:vAlign w:val="center"/>
          </w:tcPr>
          <w:p w14:paraId="5C05739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4CD9E7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429495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D9B989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27B5DAD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公开页面是否详细列明了标题、正文、文号、成文日期、发布日期、有效性等</w:t>
            </w:r>
          </w:p>
        </w:tc>
        <w:tc>
          <w:tcPr>
            <w:tcW w:w="1501" w:type="dxa"/>
            <w:vMerge w:val="continue"/>
            <w:shd w:val="clear" w:color="auto" w:fill="auto"/>
            <w:vAlign w:val="center"/>
          </w:tcPr>
          <w:p w14:paraId="72EEB7A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518B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07" w:type="dxa"/>
            <w:vMerge w:val="continue"/>
            <w:shd w:val="clear" w:color="auto" w:fill="auto"/>
            <w:vAlign w:val="center"/>
          </w:tcPr>
          <w:p w14:paraId="57006B5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050805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4E0A29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09D21D3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清理与标注</w:t>
            </w:r>
          </w:p>
        </w:tc>
        <w:tc>
          <w:tcPr>
            <w:tcW w:w="7500" w:type="dxa"/>
            <w:shd w:val="clear" w:color="auto" w:fill="auto"/>
            <w:vAlign w:val="center"/>
          </w:tcPr>
          <w:p w14:paraId="0F498A8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是否发布了</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行政规范性文件清理结果（至少每隔2年清理一次）</w:t>
            </w:r>
          </w:p>
        </w:tc>
        <w:tc>
          <w:tcPr>
            <w:tcW w:w="1501" w:type="dxa"/>
            <w:vMerge w:val="continue"/>
            <w:shd w:val="clear" w:color="auto" w:fill="auto"/>
            <w:vAlign w:val="center"/>
          </w:tcPr>
          <w:p w14:paraId="6A5F07E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35A0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07" w:type="dxa"/>
            <w:vMerge w:val="continue"/>
            <w:shd w:val="clear" w:color="auto" w:fill="auto"/>
            <w:vAlign w:val="center"/>
          </w:tcPr>
          <w:p w14:paraId="1E5A947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FF772E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10EE04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5F0D938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0866FD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发生修改、废止、失效等情况，是否及时在公开页面更新有效性标注</w:t>
            </w:r>
          </w:p>
        </w:tc>
        <w:tc>
          <w:tcPr>
            <w:tcW w:w="1501" w:type="dxa"/>
            <w:vMerge w:val="continue"/>
            <w:shd w:val="clear" w:color="auto" w:fill="auto"/>
            <w:vAlign w:val="center"/>
          </w:tcPr>
          <w:p w14:paraId="53BCB26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3CCC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307" w:type="dxa"/>
            <w:vMerge w:val="continue"/>
            <w:shd w:val="clear" w:color="auto" w:fill="auto"/>
            <w:vAlign w:val="center"/>
          </w:tcPr>
          <w:p w14:paraId="53E8BCD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9D6871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41C2D4F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其他文件</w:t>
            </w:r>
          </w:p>
        </w:tc>
        <w:tc>
          <w:tcPr>
            <w:tcW w:w="1800" w:type="dxa"/>
            <w:shd w:val="clear" w:color="auto" w:fill="auto"/>
            <w:vAlign w:val="center"/>
          </w:tcPr>
          <w:p w14:paraId="1661272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栏目目录</w:t>
            </w:r>
          </w:p>
        </w:tc>
        <w:tc>
          <w:tcPr>
            <w:tcW w:w="7500" w:type="dxa"/>
            <w:shd w:val="clear" w:color="auto" w:fill="auto"/>
            <w:vAlign w:val="center"/>
          </w:tcPr>
          <w:p w14:paraId="256D052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是否在政府网站政府信息公开专栏中集中发布</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及部门其他文件</w:t>
            </w:r>
          </w:p>
        </w:tc>
        <w:tc>
          <w:tcPr>
            <w:tcW w:w="1501" w:type="dxa"/>
            <w:vMerge w:val="restart"/>
            <w:shd w:val="clear" w:color="auto" w:fill="auto"/>
            <w:vAlign w:val="center"/>
          </w:tcPr>
          <w:p w14:paraId="043EB1F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办公室牵头，各职能部门、</w:t>
            </w:r>
            <w:r>
              <w:rPr>
                <w:rFonts w:hint="eastAsia" w:ascii="仿宋_GB2312" w:hAnsi="等线" w:eastAsia="仿宋_GB2312" w:cs="宋体"/>
                <w:color w:val="000000"/>
                <w:kern w:val="0"/>
                <w:sz w:val="24"/>
                <w:szCs w:val="21"/>
                <w:lang w:val="en-US" w:eastAsia="zh-CN"/>
              </w:rPr>
              <w:t>直属单位、各街道办事处配合</w:t>
            </w:r>
          </w:p>
        </w:tc>
      </w:tr>
      <w:tr w14:paraId="0179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307" w:type="dxa"/>
            <w:vMerge w:val="continue"/>
            <w:shd w:val="clear" w:color="auto" w:fill="auto"/>
            <w:vAlign w:val="center"/>
          </w:tcPr>
          <w:p w14:paraId="0925957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A288D4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556CB4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73CCE3F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发布内容</w:t>
            </w:r>
          </w:p>
        </w:tc>
        <w:tc>
          <w:tcPr>
            <w:tcW w:w="7500" w:type="dxa"/>
            <w:shd w:val="clear" w:color="auto" w:fill="auto"/>
            <w:vAlign w:val="center"/>
          </w:tcPr>
          <w:p w14:paraId="2033E24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公开页面是否详细列明了标题、正文、文号、成文日期、发布日期等</w:t>
            </w:r>
          </w:p>
        </w:tc>
        <w:tc>
          <w:tcPr>
            <w:tcW w:w="1501" w:type="dxa"/>
            <w:vMerge w:val="continue"/>
            <w:shd w:val="clear" w:color="auto" w:fill="auto"/>
            <w:vAlign w:val="center"/>
          </w:tcPr>
          <w:p w14:paraId="657401B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2E6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07" w:type="dxa"/>
            <w:vMerge w:val="restart"/>
            <w:shd w:val="clear" w:color="auto" w:fill="auto"/>
            <w:vAlign w:val="center"/>
          </w:tcPr>
          <w:p w14:paraId="412DC2C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2CAB289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法定基础信息</w:t>
            </w:r>
          </w:p>
        </w:tc>
        <w:tc>
          <w:tcPr>
            <w:tcW w:w="1264" w:type="dxa"/>
            <w:vMerge w:val="restart"/>
            <w:shd w:val="clear" w:color="auto" w:fill="auto"/>
            <w:vAlign w:val="center"/>
          </w:tcPr>
          <w:p w14:paraId="10C14B4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机构职能</w:t>
            </w:r>
          </w:p>
        </w:tc>
        <w:tc>
          <w:tcPr>
            <w:tcW w:w="1800" w:type="dxa"/>
            <w:vMerge w:val="restart"/>
            <w:shd w:val="clear" w:color="auto" w:fill="auto"/>
            <w:vAlign w:val="center"/>
          </w:tcPr>
          <w:p w14:paraId="0C8D466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机构设置</w:t>
            </w:r>
          </w:p>
        </w:tc>
        <w:tc>
          <w:tcPr>
            <w:tcW w:w="7500" w:type="dxa"/>
            <w:shd w:val="clear" w:color="auto" w:fill="auto"/>
            <w:vAlign w:val="center"/>
          </w:tcPr>
          <w:p w14:paraId="0622028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spacing w:val="-6"/>
                <w:kern w:val="0"/>
                <w:sz w:val="24"/>
                <w:szCs w:val="21"/>
                <w:lang w:val="en-US" w:eastAsia="zh-CN"/>
              </w:rPr>
              <w:t>是否统一格式公开管委会机构设置、部门职能、办公地址、办公时间、</w:t>
            </w:r>
            <w:r>
              <w:rPr>
                <w:rFonts w:hint="eastAsia" w:ascii="仿宋_GB2312" w:hAnsi="等线" w:eastAsia="仿宋_GB2312" w:cs="宋体"/>
                <w:color w:val="000000"/>
                <w:kern w:val="0"/>
                <w:sz w:val="24"/>
                <w:szCs w:val="21"/>
              </w:rPr>
              <w:t>联系方式等信息</w:t>
            </w:r>
          </w:p>
        </w:tc>
        <w:tc>
          <w:tcPr>
            <w:tcW w:w="1501" w:type="dxa"/>
            <w:vMerge w:val="restart"/>
            <w:shd w:val="clear" w:color="auto" w:fill="auto"/>
            <w:vAlign w:val="center"/>
          </w:tcPr>
          <w:p w14:paraId="2BB0CAB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党群工作部牵头，各职能部门、直属单位、各街道办事处配合</w:t>
            </w:r>
          </w:p>
        </w:tc>
      </w:tr>
      <w:tr w14:paraId="0DA7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07" w:type="dxa"/>
            <w:vMerge w:val="continue"/>
            <w:shd w:val="clear" w:color="auto" w:fill="auto"/>
            <w:vAlign w:val="center"/>
          </w:tcPr>
          <w:p w14:paraId="244D89C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3DB4E8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88201E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6BAD24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6CA8B0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是否统一格式公开本级</w:t>
            </w:r>
            <w:r>
              <w:rPr>
                <w:rFonts w:hint="eastAsia" w:ascii="仿宋_GB2312" w:hAnsi="等线" w:eastAsia="仿宋_GB2312" w:cs="宋体"/>
                <w:color w:val="000000"/>
                <w:kern w:val="0"/>
                <w:sz w:val="24"/>
                <w:szCs w:val="21"/>
                <w:lang w:val="en-US" w:eastAsia="zh-CN"/>
              </w:rPr>
              <w:t>职能</w:t>
            </w:r>
            <w:r>
              <w:rPr>
                <w:rFonts w:hint="eastAsia" w:ascii="仿宋_GB2312" w:hAnsi="等线" w:eastAsia="仿宋_GB2312" w:cs="宋体"/>
                <w:color w:val="000000"/>
                <w:kern w:val="0"/>
                <w:sz w:val="24"/>
                <w:szCs w:val="21"/>
              </w:rPr>
              <w:t>部门负责人姓名、</w:t>
            </w:r>
            <w:r>
              <w:rPr>
                <w:rFonts w:hint="eastAsia" w:ascii="仿宋_GB2312" w:hAnsi="等线" w:eastAsia="仿宋_GB2312" w:cs="宋体"/>
                <w:color w:val="000000"/>
                <w:kern w:val="0"/>
                <w:sz w:val="24"/>
                <w:szCs w:val="21"/>
                <w:lang w:val="en-US" w:eastAsia="zh-CN"/>
              </w:rPr>
              <w:t>工作</w:t>
            </w:r>
            <w:r>
              <w:rPr>
                <w:rFonts w:hint="eastAsia" w:ascii="仿宋_GB2312" w:hAnsi="等线" w:eastAsia="仿宋_GB2312" w:cs="宋体"/>
                <w:color w:val="000000"/>
                <w:kern w:val="0"/>
                <w:sz w:val="24"/>
                <w:szCs w:val="21"/>
              </w:rPr>
              <w:t>机构职能等信息</w:t>
            </w:r>
          </w:p>
        </w:tc>
        <w:tc>
          <w:tcPr>
            <w:tcW w:w="1501" w:type="dxa"/>
            <w:vMerge w:val="continue"/>
            <w:shd w:val="clear" w:color="auto" w:fill="auto"/>
            <w:vAlign w:val="center"/>
          </w:tcPr>
          <w:p w14:paraId="7EC1C32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6E96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07" w:type="dxa"/>
            <w:vMerge w:val="continue"/>
            <w:shd w:val="clear" w:color="auto" w:fill="auto"/>
            <w:vAlign w:val="center"/>
          </w:tcPr>
          <w:p w14:paraId="50D7B62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2F6162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0349B9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0F714F8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领导信息</w:t>
            </w:r>
          </w:p>
        </w:tc>
        <w:tc>
          <w:tcPr>
            <w:tcW w:w="7500" w:type="dxa"/>
            <w:shd w:val="clear" w:color="auto" w:fill="auto"/>
            <w:vAlign w:val="center"/>
          </w:tcPr>
          <w:p w14:paraId="7FCD3BC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负责人的姓名、现任职务职级、性别、民族、出生年月、学历学位、政治面貌、照片等</w:t>
            </w:r>
          </w:p>
        </w:tc>
        <w:tc>
          <w:tcPr>
            <w:tcW w:w="1501" w:type="dxa"/>
            <w:vMerge w:val="continue"/>
            <w:shd w:val="clear" w:color="auto" w:fill="auto"/>
            <w:vAlign w:val="center"/>
          </w:tcPr>
          <w:p w14:paraId="73F7E4F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4DA6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07" w:type="dxa"/>
            <w:vMerge w:val="continue"/>
            <w:shd w:val="clear" w:color="auto" w:fill="auto"/>
            <w:vAlign w:val="center"/>
          </w:tcPr>
          <w:p w14:paraId="155F15A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EBB63E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7DF4312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统计信息</w:t>
            </w:r>
          </w:p>
        </w:tc>
        <w:tc>
          <w:tcPr>
            <w:tcW w:w="1800" w:type="dxa"/>
            <w:shd w:val="clear" w:color="auto" w:fill="auto"/>
            <w:vAlign w:val="center"/>
          </w:tcPr>
          <w:p w14:paraId="7E09FB4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highlight w:val="none"/>
              </w:rPr>
            </w:pPr>
            <w:r>
              <w:rPr>
                <w:rFonts w:hint="eastAsia" w:ascii="仿宋_GB2312" w:hAnsi="等线" w:eastAsia="仿宋_GB2312" w:cs="宋体"/>
                <w:color w:val="000000"/>
                <w:kern w:val="0"/>
                <w:sz w:val="24"/>
                <w:szCs w:val="21"/>
                <w:highlight w:val="none"/>
              </w:rPr>
              <w:t>统计公报</w:t>
            </w:r>
          </w:p>
        </w:tc>
        <w:tc>
          <w:tcPr>
            <w:tcW w:w="7500" w:type="dxa"/>
            <w:shd w:val="clear" w:color="auto" w:fill="auto"/>
            <w:vAlign w:val="center"/>
          </w:tcPr>
          <w:p w14:paraId="233EB73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highlight w:val="none"/>
              </w:rPr>
            </w:pPr>
            <w:r>
              <w:rPr>
                <w:rFonts w:hint="eastAsia" w:ascii="仿宋_GB2312" w:hAnsi="等线" w:eastAsia="仿宋_GB2312" w:cs="宋体"/>
                <w:color w:val="000000"/>
                <w:kern w:val="0"/>
                <w:sz w:val="24"/>
                <w:szCs w:val="21"/>
                <w:highlight w:val="none"/>
              </w:rPr>
              <w:t>是否发布本地区202</w:t>
            </w:r>
            <w:r>
              <w:rPr>
                <w:rFonts w:hint="eastAsia" w:ascii="仿宋_GB2312" w:hAnsi="等线" w:eastAsia="仿宋_GB2312" w:cs="宋体"/>
                <w:color w:val="000000"/>
                <w:kern w:val="0"/>
                <w:sz w:val="24"/>
                <w:szCs w:val="21"/>
                <w:highlight w:val="none"/>
                <w:lang w:val="en-US" w:eastAsia="zh-CN"/>
              </w:rPr>
              <w:t>4</w:t>
            </w:r>
            <w:r>
              <w:rPr>
                <w:rFonts w:hint="eastAsia" w:ascii="仿宋_GB2312" w:hAnsi="等线" w:eastAsia="仿宋_GB2312" w:cs="宋体"/>
                <w:color w:val="000000"/>
                <w:kern w:val="0"/>
                <w:sz w:val="24"/>
                <w:szCs w:val="21"/>
                <w:highlight w:val="none"/>
              </w:rPr>
              <w:t>年国民经济和社会发展统计公报</w:t>
            </w:r>
          </w:p>
        </w:tc>
        <w:tc>
          <w:tcPr>
            <w:tcW w:w="1501" w:type="dxa"/>
            <w:vMerge w:val="restart"/>
            <w:shd w:val="clear" w:color="auto" w:fill="auto"/>
            <w:vAlign w:val="center"/>
          </w:tcPr>
          <w:p w14:paraId="70EBC8F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经济发展部牵头</w:t>
            </w:r>
          </w:p>
        </w:tc>
      </w:tr>
      <w:tr w14:paraId="00B6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07" w:type="dxa"/>
            <w:vMerge w:val="continue"/>
            <w:shd w:val="clear" w:color="auto" w:fill="auto"/>
            <w:vAlign w:val="center"/>
          </w:tcPr>
          <w:p w14:paraId="4AB53A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37003E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DCA291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3FDFA5E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统计数据</w:t>
            </w:r>
          </w:p>
        </w:tc>
        <w:tc>
          <w:tcPr>
            <w:tcW w:w="7500" w:type="dxa"/>
            <w:shd w:val="clear" w:color="auto" w:fill="auto"/>
            <w:vAlign w:val="center"/>
          </w:tcPr>
          <w:p w14:paraId="11F4168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是否定期发布本地区经济社会发展统计数据及分析解读信息</w:t>
            </w:r>
          </w:p>
        </w:tc>
        <w:tc>
          <w:tcPr>
            <w:tcW w:w="1501" w:type="dxa"/>
            <w:vMerge w:val="continue"/>
            <w:shd w:val="clear" w:color="auto" w:fill="auto"/>
            <w:vAlign w:val="center"/>
          </w:tcPr>
          <w:p w14:paraId="531A8DB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6AA8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07" w:type="dxa"/>
            <w:vMerge w:val="continue"/>
            <w:shd w:val="clear" w:color="auto" w:fill="auto"/>
            <w:vAlign w:val="center"/>
          </w:tcPr>
          <w:p w14:paraId="3DCB43C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B45D7B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7C3E45E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规划计划</w:t>
            </w:r>
          </w:p>
        </w:tc>
        <w:tc>
          <w:tcPr>
            <w:tcW w:w="1800" w:type="dxa"/>
            <w:shd w:val="clear" w:color="auto" w:fill="auto"/>
            <w:vAlign w:val="center"/>
          </w:tcPr>
          <w:p w14:paraId="1525A5D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“十四五”规划</w:t>
            </w:r>
          </w:p>
        </w:tc>
        <w:tc>
          <w:tcPr>
            <w:tcW w:w="7500" w:type="dxa"/>
            <w:shd w:val="clear" w:color="auto" w:fill="auto"/>
            <w:vAlign w:val="center"/>
          </w:tcPr>
          <w:p w14:paraId="1729A68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是否集中公开本地区“十四五”规划和专项规划、空间规划、区域规划</w:t>
            </w:r>
          </w:p>
        </w:tc>
        <w:tc>
          <w:tcPr>
            <w:tcW w:w="1501" w:type="dxa"/>
            <w:vMerge w:val="restart"/>
            <w:shd w:val="clear" w:color="auto" w:fill="auto"/>
            <w:vAlign w:val="center"/>
          </w:tcPr>
          <w:p w14:paraId="5E0545D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宣传文化部、社会治理部、经济发展部、产业促进部、财政金融部、</w:t>
            </w:r>
            <w:r>
              <w:rPr>
                <w:rFonts w:hint="eastAsia" w:ascii="仿宋_GB2312" w:hAnsi="等线" w:eastAsia="仿宋_GB2312" w:cs="宋体"/>
                <w:color w:val="000000"/>
                <w:kern w:val="0"/>
                <w:sz w:val="24"/>
                <w:szCs w:val="21"/>
                <w:lang w:val="en-US" w:eastAsia="zh-CN"/>
              </w:rPr>
              <w:t>规划和自然资源部、建设管理部、</w:t>
            </w:r>
            <w:r>
              <w:rPr>
                <w:rFonts w:hint="eastAsia" w:ascii="仿宋_GB2312" w:hAnsi="等线" w:eastAsia="仿宋_GB2312" w:cs="宋体"/>
                <w:color w:val="000000"/>
                <w:spacing w:val="-6"/>
                <w:kern w:val="0"/>
                <w:sz w:val="24"/>
                <w:szCs w:val="21"/>
                <w:lang w:val="en-US" w:eastAsia="zh-CN"/>
              </w:rPr>
              <w:t>社会事业部、综合执法部、数字城市部、</w:t>
            </w:r>
            <w:r>
              <w:rPr>
                <w:rFonts w:hint="eastAsia" w:ascii="仿宋_GB2312" w:hAnsi="等线" w:eastAsia="仿宋_GB2312" w:cs="宋体"/>
                <w:color w:val="000000"/>
                <w:kern w:val="0"/>
                <w:sz w:val="24"/>
                <w:szCs w:val="21"/>
                <w:lang w:val="en-US" w:eastAsia="zh-CN"/>
              </w:rPr>
              <w:t>区生态环境分局</w:t>
            </w:r>
          </w:p>
        </w:tc>
      </w:tr>
      <w:tr w14:paraId="508A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jc w:val="center"/>
        </w:trPr>
        <w:tc>
          <w:tcPr>
            <w:tcW w:w="1307" w:type="dxa"/>
            <w:vMerge w:val="continue"/>
            <w:shd w:val="clear" w:color="auto" w:fill="auto"/>
            <w:vAlign w:val="center"/>
          </w:tcPr>
          <w:p w14:paraId="23CEB64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3380A2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919CB3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605341A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历史规划</w:t>
            </w:r>
          </w:p>
          <w:p w14:paraId="2E8135C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（计划）</w:t>
            </w:r>
          </w:p>
        </w:tc>
        <w:tc>
          <w:tcPr>
            <w:tcW w:w="7500" w:type="dxa"/>
            <w:shd w:val="clear" w:color="auto" w:fill="auto"/>
            <w:vAlign w:val="center"/>
          </w:tcPr>
          <w:p w14:paraId="56623D0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是否做好本地区历史规划（计划）的归集整理和主动公开工作</w:t>
            </w:r>
          </w:p>
        </w:tc>
        <w:tc>
          <w:tcPr>
            <w:tcW w:w="1501" w:type="dxa"/>
            <w:vMerge w:val="continue"/>
            <w:shd w:val="clear" w:color="auto" w:fill="auto"/>
            <w:vAlign w:val="center"/>
          </w:tcPr>
          <w:p w14:paraId="577AE16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0BFC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307" w:type="dxa"/>
            <w:vMerge w:val="restart"/>
            <w:shd w:val="clear" w:color="auto" w:fill="auto"/>
            <w:vAlign w:val="center"/>
          </w:tcPr>
          <w:p w14:paraId="6591679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6BFB536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法定基础信息</w:t>
            </w:r>
          </w:p>
        </w:tc>
        <w:tc>
          <w:tcPr>
            <w:tcW w:w="1264" w:type="dxa"/>
            <w:vMerge w:val="restart"/>
            <w:shd w:val="clear" w:color="auto" w:fill="auto"/>
            <w:vAlign w:val="center"/>
          </w:tcPr>
          <w:p w14:paraId="1D62E38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行政许可和其他对外管理服务信息</w:t>
            </w:r>
          </w:p>
        </w:tc>
        <w:tc>
          <w:tcPr>
            <w:tcW w:w="1800" w:type="dxa"/>
            <w:vMerge w:val="restart"/>
            <w:shd w:val="clear" w:color="auto" w:fill="auto"/>
            <w:vAlign w:val="center"/>
          </w:tcPr>
          <w:p w14:paraId="2294F57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行政许可</w:t>
            </w:r>
          </w:p>
        </w:tc>
        <w:tc>
          <w:tcPr>
            <w:tcW w:w="7500" w:type="dxa"/>
            <w:shd w:val="clear" w:color="auto" w:fill="auto"/>
            <w:vAlign w:val="center"/>
          </w:tcPr>
          <w:p w14:paraId="6D8A8670">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是否编制完成并公布本级行政许可事项清单，将依法设定的行政许可事项全部纳入清单管理</w:t>
            </w:r>
          </w:p>
        </w:tc>
        <w:tc>
          <w:tcPr>
            <w:tcW w:w="1501" w:type="dxa"/>
            <w:vMerge w:val="restart"/>
            <w:shd w:val="clear" w:color="auto" w:fill="auto"/>
            <w:vAlign w:val="center"/>
          </w:tcPr>
          <w:p w14:paraId="7014100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649EA39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1484D2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21006C5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数字城市部牵头，各职能部门配合</w:t>
            </w:r>
          </w:p>
          <w:p w14:paraId="338886B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757D3D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16EC12D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tc>
      </w:tr>
      <w:tr w14:paraId="331E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3BB4278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957597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333920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C82BA4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CAD654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是否能够集中公开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部门行政许可的依据、条件、程序</w:t>
            </w:r>
          </w:p>
        </w:tc>
        <w:tc>
          <w:tcPr>
            <w:tcW w:w="1501" w:type="dxa"/>
            <w:vMerge w:val="continue"/>
            <w:shd w:val="clear" w:color="auto" w:fill="auto"/>
            <w:vAlign w:val="center"/>
          </w:tcPr>
          <w:p w14:paraId="72388E7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161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7A222D1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BF34CA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C82DE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5E9673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68608D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是否能够集中公开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部门行政许可事项的办理结果</w:t>
            </w:r>
          </w:p>
        </w:tc>
        <w:tc>
          <w:tcPr>
            <w:tcW w:w="1501" w:type="dxa"/>
            <w:vMerge w:val="continue"/>
            <w:shd w:val="clear" w:color="auto" w:fill="auto"/>
            <w:vAlign w:val="center"/>
          </w:tcPr>
          <w:p w14:paraId="438A03E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9CC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0826AA2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70F1BE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98531E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7053443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其他对外管理服务</w:t>
            </w:r>
          </w:p>
        </w:tc>
        <w:tc>
          <w:tcPr>
            <w:tcW w:w="7500" w:type="dxa"/>
            <w:shd w:val="clear" w:color="auto" w:fill="auto"/>
            <w:vAlign w:val="center"/>
          </w:tcPr>
          <w:p w14:paraId="7BBC5BE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是否能够集中公开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部门其他对外管理服务信息的依据、条件、程序</w:t>
            </w:r>
          </w:p>
        </w:tc>
        <w:tc>
          <w:tcPr>
            <w:tcW w:w="1501" w:type="dxa"/>
            <w:vMerge w:val="continue"/>
            <w:shd w:val="clear" w:color="auto" w:fill="auto"/>
            <w:vAlign w:val="center"/>
          </w:tcPr>
          <w:p w14:paraId="7A6BCA4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420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07" w:type="dxa"/>
            <w:vMerge w:val="continue"/>
            <w:shd w:val="clear" w:color="auto" w:fill="auto"/>
            <w:vAlign w:val="center"/>
          </w:tcPr>
          <w:p w14:paraId="21F56F6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C50FC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F5934B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5B9ED06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C31EA3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是否能够集中公开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部门其他对外管理服务事项的办理结果</w:t>
            </w:r>
          </w:p>
        </w:tc>
        <w:tc>
          <w:tcPr>
            <w:tcW w:w="1501" w:type="dxa"/>
            <w:vMerge w:val="continue"/>
            <w:shd w:val="clear" w:color="auto" w:fill="auto"/>
            <w:vAlign w:val="center"/>
          </w:tcPr>
          <w:p w14:paraId="6145405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4CD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07" w:type="dxa"/>
            <w:vMerge w:val="continue"/>
            <w:shd w:val="clear" w:color="auto" w:fill="auto"/>
            <w:vAlign w:val="center"/>
          </w:tcPr>
          <w:p w14:paraId="06B279D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EE9C91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676FD70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处罚强制信息</w:t>
            </w:r>
          </w:p>
        </w:tc>
        <w:tc>
          <w:tcPr>
            <w:tcW w:w="1800" w:type="dxa"/>
            <w:vMerge w:val="restart"/>
            <w:shd w:val="clear" w:color="auto" w:fill="auto"/>
            <w:vAlign w:val="center"/>
          </w:tcPr>
          <w:p w14:paraId="4C0D2E8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依据、条件和</w:t>
            </w:r>
          </w:p>
          <w:p w14:paraId="61FA8B4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程序</w:t>
            </w:r>
          </w:p>
        </w:tc>
        <w:tc>
          <w:tcPr>
            <w:tcW w:w="7500" w:type="dxa"/>
            <w:shd w:val="clear" w:color="auto" w:fill="auto"/>
            <w:vAlign w:val="center"/>
          </w:tcPr>
          <w:p w14:paraId="4A5E718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是否能够集中公开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部门行政强制的依据、条件、程序</w:t>
            </w:r>
          </w:p>
        </w:tc>
        <w:tc>
          <w:tcPr>
            <w:tcW w:w="1501" w:type="dxa"/>
            <w:vMerge w:val="restart"/>
            <w:shd w:val="clear" w:color="auto" w:fill="auto"/>
            <w:vAlign w:val="center"/>
          </w:tcPr>
          <w:p w14:paraId="6CA110A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各职能部门</w:t>
            </w:r>
          </w:p>
        </w:tc>
      </w:tr>
      <w:tr w14:paraId="6E1C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07" w:type="dxa"/>
            <w:vMerge w:val="continue"/>
            <w:shd w:val="clear" w:color="auto" w:fill="auto"/>
            <w:vAlign w:val="center"/>
          </w:tcPr>
          <w:p w14:paraId="4A6F9E0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C92D0F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569900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11BF6F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ED5809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是否能够集中公开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部门行政处罚的依据、条件、程序</w:t>
            </w:r>
          </w:p>
        </w:tc>
        <w:tc>
          <w:tcPr>
            <w:tcW w:w="1501" w:type="dxa"/>
            <w:vMerge w:val="continue"/>
            <w:shd w:val="clear" w:color="auto" w:fill="auto"/>
            <w:vAlign w:val="center"/>
          </w:tcPr>
          <w:p w14:paraId="240CDD4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242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07" w:type="dxa"/>
            <w:vMerge w:val="continue"/>
            <w:shd w:val="clear" w:color="auto" w:fill="auto"/>
            <w:vAlign w:val="center"/>
          </w:tcPr>
          <w:p w14:paraId="74A50C3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53B5CE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963BC8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45DC627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结果</w:t>
            </w:r>
          </w:p>
        </w:tc>
        <w:tc>
          <w:tcPr>
            <w:tcW w:w="7500" w:type="dxa"/>
            <w:shd w:val="clear" w:color="auto" w:fill="auto"/>
            <w:vAlign w:val="center"/>
          </w:tcPr>
          <w:p w14:paraId="0577525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部门认为具有一定社会影响的行政处罚决定</w:t>
            </w:r>
          </w:p>
        </w:tc>
        <w:tc>
          <w:tcPr>
            <w:tcW w:w="1501" w:type="dxa"/>
            <w:vMerge w:val="continue"/>
            <w:shd w:val="clear" w:color="auto" w:fill="auto"/>
            <w:vAlign w:val="center"/>
          </w:tcPr>
          <w:p w14:paraId="6EEB504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BFC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1961271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81433B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34A991E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行政事业性收费</w:t>
            </w:r>
          </w:p>
        </w:tc>
        <w:tc>
          <w:tcPr>
            <w:tcW w:w="1800" w:type="dxa"/>
            <w:vMerge w:val="restart"/>
            <w:shd w:val="clear" w:color="auto" w:fill="auto"/>
            <w:vAlign w:val="center"/>
          </w:tcPr>
          <w:p w14:paraId="733C6A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目录发布</w:t>
            </w:r>
          </w:p>
        </w:tc>
        <w:tc>
          <w:tcPr>
            <w:tcW w:w="7500" w:type="dxa"/>
            <w:shd w:val="clear" w:color="auto" w:fill="auto"/>
            <w:vAlign w:val="center"/>
          </w:tcPr>
          <w:p w14:paraId="39CB541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是否发布本地区执行的全国性行政事业性收费目录清单并及时更新</w:t>
            </w:r>
          </w:p>
        </w:tc>
        <w:tc>
          <w:tcPr>
            <w:tcW w:w="1501" w:type="dxa"/>
            <w:vMerge w:val="restart"/>
            <w:shd w:val="clear" w:color="auto" w:fill="auto"/>
            <w:vAlign w:val="center"/>
          </w:tcPr>
          <w:p w14:paraId="01B7823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财政金融部</w:t>
            </w:r>
          </w:p>
        </w:tc>
      </w:tr>
      <w:tr w14:paraId="0CBE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F9454B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779ECF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F4B476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349E80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4263162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是否发布本地区执行的山东省行政事业性收费目录清单并及时更新</w:t>
            </w:r>
          </w:p>
        </w:tc>
        <w:tc>
          <w:tcPr>
            <w:tcW w:w="1501" w:type="dxa"/>
            <w:vMerge w:val="continue"/>
            <w:shd w:val="clear" w:color="auto" w:fill="auto"/>
            <w:vAlign w:val="center"/>
          </w:tcPr>
          <w:p w14:paraId="74BE227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F8D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07" w:type="dxa"/>
            <w:vMerge w:val="continue"/>
            <w:shd w:val="clear" w:color="auto" w:fill="auto"/>
            <w:vAlign w:val="center"/>
          </w:tcPr>
          <w:p w14:paraId="0F3D2E3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1A8939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A88BE2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6AFBE82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依据和标准</w:t>
            </w:r>
          </w:p>
        </w:tc>
        <w:tc>
          <w:tcPr>
            <w:tcW w:w="7500" w:type="dxa"/>
            <w:shd w:val="clear" w:color="auto" w:fill="auto"/>
            <w:vAlign w:val="center"/>
          </w:tcPr>
          <w:p w14:paraId="095591F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项目名称、资金管理方式、政策依据、执收部门、征收对象、征收标准等要素是否完整</w:t>
            </w:r>
          </w:p>
        </w:tc>
        <w:tc>
          <w:tcPr>
            <w:tcW w:w="1501" w:type="dxa"/>
            <w:vMerge w:val="continue"/>
            <w:shd w:val="clear" w:color="auto" w:fill="auto"/>
            <w:vAlign w:val="center"/>
          </w:tcPr>
          <w:p w14:paraId="281442B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B32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07" w:type="dxa"/>
            <w:vMerge w:val="continue"/>
            <w:shd w:val="clear" w:color="auto" w:fill="auto"/>
            <w:vAlign w:val="center"/>
          </w:tcPr>
          <w:p w14:paraId="18CCD9C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C4CA2B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4F3F89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36113C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428A292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政策依据和征收标准是否准确、全面</w:t>
            </w:r>
          </w:p>
        </w:tc>
        <w:tc>
          <w:tcPr>
            <w:tcW w:w="1501" w:type="dxa"/>
            <w:vMerge w:val="continue"/>
            <w:shd w:val="clear" w:color="auto" w:fill="auto"/>
            <w:vAlign w:val="center"/>
          </w:tcPr>
          <w:p w14:paraId="13AB017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875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1" w:hRule="atLeast"/>
          <w:jc w:val="center"/>
        </w:trPr>
        <w:tc>
          <w:tcPr>
            <w:tcW w:w="1307" w:type="dxa"/>
            <w:vMerge w:val="restart"/>
            <w:shd w:val="clear" w:color="auto" w:fill="auto"/>
            <w:vAlign w:val="center"/>
          </w:tcPr>
          <w:p w14:paraId="3297763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369EA7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法定基础信息</w:t>
            </w:r>
          </w:p>
        </w:tc>
        <w:tc>
          <w:tcPr>
            <w:tcW w:w="1264" w:type="dxa"/>
            <w:vMerge w:val="restart"/>
            <w:shd w:val="clear" w:color="auto" w:fill="auto"/>
            <w:vAlign w:val="center"/>
          </w:tcPr>
          <w:p w14:paraId="632ECDA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政府采购</w:t>
            </w:r>
          </w:p>
        </w:tc>
        <w:tc>
          <w:tcPr>
            <w:tcW w:w="1800" w:type="dxa"/>
            <w:shd w:val="clear" w:color="auto" w:fill="auto"/>
            <w:vAlign w:val="center"/>
          </w:tcPr>
          <w:p w14:paraId="1E2846D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目录标准</w:t>
            </w:r>
          </w:p>
        </w:tc>
        <w:tc>
          <w:tcPr>
            <w:tcW w:w="7500" w:type="dxa"/>
            <w:shd w:val="clear" w:color="auto" w:fill="auto"/>
            <w:vAlign w:val="center"/>
          </w:tcPr>
          <w:p w14:paraId="02AF79C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是否及时公开采购项目的目录和标准</w:t>
            </w:r>
          </w:p>
        </w:tc>
        <w:tc>
          <w:tcPr>
            <w:tcW w:w="1501" w:type="dxa"/>
            <w:vMerge w:val="restart"/>
            <w:shd w:val="clear" w:color="auto" w:fill="auto"/>
            <w:vAlign w:val="center"/>
          </w:tcPr>
          <w:p w14:paraId="1E194FB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财政金融部</w:t>
            </w:r>
          </w:p>
        </w:tc>
      </w:tr>
      <w:tr w14:paraId="045F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07" w:type="dxa"/>
            <w:vMerge w:val="continue"/>
            <w:shd w:val="clear" w:color="auto" w:fill="auto"/>
            <w:vAlign w:val="center"/>
          </w:tcPr>
          <w:p w14:paraId="333B061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351779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EAE8ED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1E8BC72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实施情况</w:t>
            </w:r>
          </w:p>
        </w:tc>
        <w:tc>
          <w:tcPr>
            <w:tcW w:w="7500" w:type="dxa"/>
            <w:shd w:val="clear" w:color="auto" w:fill="auto"/>
            <w:vAlign w:val="center"/>
          </w:tcPr>
          <w:p w14:paraId="286C789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是否定期公开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采购实施情况</w:t>
            </w:r>
          </w:p>
        </w:tc>
        <w:tc>
          <w:tcPr>
            <w:tcW w:w="1501" w:type="dxa"/>
            <w:vMerge w:val="continue"/>
            <w:shd w:val="clear" w:color="auto" w:fill="auto"/>
            <w:vAlign w:val="center"/>
          </w:tcPr>
          <w:p w14:paraId="44507BF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DD8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307" w:type="dxa"/>
            <w:vMerge w:val="continue"/>
            <w:shd w:val="clear" w:color="auto" w:fill="auto"/>
            <w:vAlign w:val="center"/>
          </w:tcPr>
          <w:p w14:paraId="2AB2624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restart"/>
            <w:shd w:val="clear" w:color="auto" w:fill="auto"/>
            <w:vAlign w:val="center"/>
          </w:tcPr>
          <w:p w14:paraId="62183C6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417A59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财政信息</w:t>
            </w:r>
          </w:p>
        </w:tc>
        <w:tc>
          <w:tcPr>
            <w:tcW w:w="1800" w:type="dxa"/>
            <w:shd w:val="clear" w:color="auto" w:fill="auto"/>
            <w:vAlign w:val="center"/>
          </w:tcPr>
          <w:p w14:paraId="5612BE8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专栏设置</w:t>
            </w:r>
          </w:p>
        </w:tc>
        <w:tc>
          <w:tcPr>
            <w:tcW w:w="7500" w:type="dxa"/>
            <w:shd w:val="clear" w:color="auto" w:fill="auto"/>
            <w:vAlign w:val="center"/>
          </w:tcPr>
          <w:p w14:paraId="0C75749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是否设立财政预决算信息公开统一平台（或专栏），并对内容进行分级分类</w:t>
            </w:r>
          </w:p>
        </w:tc>
        <w:tc>
          <w:tcPr>
            <w:tcW w:w="1501" w:type="dxa"/>
            <w:shd w:val="clear" w:color="auto" w:fill="auto"/>
            <w:vAlign w:val="center"/>
          </w:tcPr>
          <w:p w14:paraId="375017D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办公室、数字城市部</w:t>
            </w:r>
          </w:p>
        </w:tc>
      </w:tr>
      <w:tr w14:paraId="760B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07" w:type="dxa"/>
            <w:vMerge w:val="continue"/>
            <w:shd w:val="clear" w:color="auto" w:fill="auto"/>
            <w:vAlign w:val="center"/>
          </w:tcPr>
          <w:p w14:paraId="78ADEF2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2D6A89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18FFE5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3D997CC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财政预决算</w:t>
            </w:r>
          </w:p>
        </w:tc>
        <w:tc>
          <w:tcPr>
            <w:tcW w:w="7500" w:type="dxa"/>
            <w:shd w:val="clear" w:color="auto" w:fill="auto"/>
            <w:vAlign w:val="center"/>
          </w:tcPr>
          <w:p w14:paraId="250269A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是否公开本级和部门预决算说明、表格、“三公”经费预决算情况以及重点部门的绩效文本、重点项目绩效目标和绩效评价结果</w:t>
            </w:r>
          </w:p>
        </w:tc>
        <w:tc>
          <w:tcPr>
            <w:tcW w:w="1501" w:type="dxa"/>
            <w:vMerge w:val="restart"/>
            <w:shd w:val="clear" w:color="auto" w:fill="auto"/>
            <w:vAlign w:val="center"/>
          </w:tcPr>
          <w:p w14:paraId="59091C2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11"/>
                <w:kern w:val="0"/>
                <w:sz w:val="24"/>
                <w:szCs w:val="21"/>
                <w:lang w:val="en-US" w:eastAsia="zh-CN"/>
              </w:rPr>
              <w:t>财政金融部牵头；各职能部门、直属单位、各街道办事处配合</w:t>
            </w:r>
          </w:p>
        </w:tc>
      </w:tr>
      <w:tr w14:paraId="4131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07" w:type="dxa"/>
            <w:vMerge w:val="continue"/>
            <w:shd w:val="clear" w:color="auto" w:fill="auto"/>
            <w:vAlign w:val="center"/>
          </w:tcPr>
          <w:p w14:paraId="453CE55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5F3C29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BFC680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537BBF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D3EAB6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是否公开本级</w:t>
            </w:r>
            <w:r>
              <w:rPr>
                <w:rFonts w:hint="eastAsia" w:ascii="仿宋_GB2312" w:hAnsi="等线" w:eastAsia="仿宋_GB2312" w:cs="宋体"/>
                <w:color w:val="000000"/>
                <w:kern w:val="0"/>
                <w:sz w:val="24"/>
                <w:szCs w:val="21"/>
                <w:lang w:val="en-US" w:eastAsia="zh-CN"/>
              </w:rPr>
              <w:t>和</w:t>
            </w:r>
            <w:r>
              <w:rPr>
                <w:rFonts w:hint="eastAsia" w:ascii="仿宋_GB2312" w:hAnsi="等线" w:eastAsia="仿宋_GB2312" w:cs="宋体"/>
                <w:color w:val="000000"/>
                <w:kern w:val="0"/>
                <w:sz w:val="24"/>
                <w:szCs w:val="21"/>
              </w:rPr>
              <w:t>部门所属单位的预决算说明、表格、“三公”经费预决算情况</w:t>
            </w:r>
          </w:p>
        </w:tc>
        <w:tc>
          <w:tcPr>
            <w:tcW w:w="1501" w:type="dxa"/>
            <w:vMerge w:val="continue"/>
            <w:shd w:val="clear" w:color="auto" w:fill="auto"/>
            <w:vAlign w:val="center"/>
          </w:tcPr>
          <w:p w14:paraId="13552E7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5A0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07" w:type="dxa"/>
            <w:vMerge w:val="continue"/>
            <w:shd w:val="clear" w:color="auto" w:fill="auto"/>
            <w:vAlign w:val="center"/>
          </w:tcPr>
          <w:p w14:paraId="2D73525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DA4227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619BEF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6AE5E5C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财政收支</w:t>
            </w:r>
          </w:p>
        </w:tc>
        <w:tc>
          <w:tcPr>
            <w:tcW w:w="7500" w:type="dxa"/>
            <w:shd w:val="clear" w:color="auto" w:fill="auto"/>
            <w:vAlign w:val="center"/>
          </w:tcPr>
          <w:p w14:paraId="300FF0E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是否按月公开财政收支及增减变化情况</w:t>
            </w:r>
          </w:p>
        </w:tc>
        <w:tc>
          <w:tcPr>
            <w:tcW w:w="1501" w:type="dxa"/>
            <w:vMerge w:val="restart"/>
            <w:shd w:val="clear" w:color="auto" w:fill="auto"/>
            <w:vAlign w:val="center"/>
          </w:tcPr>
          <w:p w14:paraId="1E3103C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财政金融部</w:t>
            </w:r>
          </w:p>
        </w:tc>
      </w:tr>
      <w:tr w14:paraId="6F2C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07" w:type="dxa"/>
            <w:vMerge w:val="continue"/>
            <w:shd w:val="clear" w:color="auto" w:fill="auto"/>
            <w:vAlign w:val="center"/>
          </w:tcPr>
          <w:p w14:paraId="6ECC910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DB1754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p>
        </w:tc>
        <w:tc>
          <w:tcPr>
            <w:tcW w:w="1264" w:type="dxa"/>
            <w:vMerge w:val="continue"/>
            <w:shd w:val="clear" w:color="auto" w:fill="auto"/>
            <w:vAlign w:val="center"/>
          </w:tcPr>
          <w:p w14:paraId="10552B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24B182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政府债务</w:t>
            </w:r>
          </w:p>
        </w:tc>
        <w:tc>
          <w:tcPr>
            <w:tcW w:w="7500" w:type="dxa"/>
            <w:shd w:val="clear" w:color="auto" w:fill="auto"/>
            <w:vAlign w:val="center"/>
          </w:tcPr>
          <w:p w14:paraId="1B8897D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是否随同</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预决算公开地方政府债务限额、余额、使用安排及还本付息等信息</w:t>
            </w:r>
          </w:p>
        </w:tc>
        <w:tc>
          <w:tcPr>
            <w:tcW w:w="1501" w:type="dxa"/>
            <w:vMerge w:val="continue"/>
            <w:shd w:val="clear" w:color="auto" w:fill="auto"/>
            <w:vAlign w:val="center"/>
          </w:tcPr>
          <w:p w14:paraId="5FE1D71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1CC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07" w:type="dxa"/>
            <w:vMerge w:val="continue"/>
            <w:shd w:val="clear" w:color="auto" w:fill="auto"/>
            <w:vAlign w:val="center"/>
          </w:tcPr>
          <w:p w14:paraId="471176A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855FE8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0B5F50B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行政执法公示</w:t>
            </w:r>
          </w:p>
        </w:tc>
        <w:tc>
          <w:tcPr>
            <w:tcW w:w="1800" w:type="dxa"/>
            <w:shd w:val="clear" w:color="auto" w:fill="auto"/>
            <w:vAlign w:val="center"/>
          </w:tcPr>
          <w:p w14:paraId="6C70E08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平台建设</w:t>
            </w:r>
          </w:p>
        </w:tc>
        <w:tc>
          <w:tcPr>
            <w:tcW w:w="7500" w:type="dxa"/>
            <w:shd w:val="clear" w:color="auto" w:fill="auto"/>
            <w:vAlign w:val="center"/>
          </w:tcPr>
          <w:p w14:paraId="15C951B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是否搭建或利用统一的执法信息公示平台或目录</w:t>
            </w:r>
          </w:p>
        </w:tc>
        <w:tc>
          <w:tcPr>
            <w:tcW w:w="1501" w:type="dxa"/>
            <w:shd w:val="clear" w:color="auto" w:fill="auto"/>
            <w:vAlign w:val="center"/>
          </w:tcPr>
          <w:p w14:paraId="38FAF19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办公室、数字城市部</w:t>
            </w:r>
          </w:p>
        </w:tc>
      </w:tr>
      <w:tr w14:paraId="315E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307" w:type="dxa"/>
            <w:vMerge w:val="continue"/>
            <w:shd w:val="clear" w:color="auto" w:fill="auto"/>
            <w:vAlign w:val="center"/>
          </w:tcPr>
          <w:p w14:paraId="7C050F5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F575D5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5B4C65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5127988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事前公开</w:t>
            </w:r>
          </w:p>
        </w:tc>
        <w:tc>
          <w:tcPr>
            <w:tcW w:w="7500" w:type="dxa"/>
            <w:shd w:val="clear" w:color="auto" w:fill="auto"/>
            <w:vAlign w:val="center"/>
          </w:tcPr>
          <w:p w14:paraId="0CE3EA3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是否公开并及时更新</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部门的执法机构、执法人员、执法职责、执法权限等信息</w:t>
            </w:r>
          </w:p>
        </w:tc>
        <w:tc>
          <w:tcPr>
            <w:tcW w:w="1501" w:type="dxa"/>
            <w:vMerge w:val="restart"/>
            <w:shd w:val="clear" w:color="auto" w:fill="auto"/>
            <w:vAlign w:val="center"/>
          </w:tcPr>
          <w:p w14:paraId="4DDE7E6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各职能部门负责</w:t>
            </w:r>
          </w:p>
        </w:tc>
      </w:tr>
      <w:tr w14:paraId="360D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0E9E808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B07304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4B9F37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4582C0F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8806E1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部门行政执法权力事项的名称、种类、依据、承办机构、办理程序和时限、救济渠道等信息</w:t>
            </w:r>
          </w:p>
        </w:tc>
        <w:tc>
          <w:tcPr>
            <w:tcW w:w="1501" w:type="dxa"/>
            <w:vMerge w:val="continue"/>
            <w:shd w:val="clear" w:color="auto" w:fill="auto"/>
            <w:vAlign w:val="center"/>
          </w:tcPr>
          <w:p w14:paraId="4FAB416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E86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07" w:type="dxa"/>
            <w:vMerge w:val="restart"/>
            <w:shd w:val="clear" w:color="auto" w:fill="auto"/>
            <w:vAlign w:val="center"/>
          </w:tcPr>
          <w:p w14:paraId="465CE19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5B608C8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318B6EA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行政执法公示</w:t>
            </w:r>
          </w:p>
        </w:tc>
        <w:tc>
          <w:tcPr>
            <w:tcW w:w="1800" w:type="dxa"/>
            <w:vMerge w:val="restart"/>
            <w:shd w:val="clear" w:color="auto" w:fill="auto"/>
            <w:vAlign w:val="center"/>
          </w:tcPr>
          <w:p w14:paraId="744F16A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事前公开</w:t>
            </w:r>
          </w:p>
        </w:tc>
        <w:tc>
          <w:tcPr>
            <w:tcW w:w="7500" w:type="dxa"/>
            <w:shd w:val="clear" w:color="auto" w:fill="auto"/>
            <w:vAlign w:val="center"/>
          </w:tcPr>
          <w:p w14:paraId="691891F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部门行政执法权力事项的办理场所信息、执法岗位信息、联系方式、服务指南、执法流程图、需要提交的材料目录以及示范文本、办理进度查询、咨询服务、投诉举报等信息</w:t>
            </w:r>
          </w:p>
        </w:tc>
        <w:tc>
          <w:tcPr>
            <w:tcW w:w="1501" w:type="dxa"/>
            <w:vMerge w:val="restart"/>
            <w:shd w:val="clear" w:color="auto" w:fill="auto"/>
            <w:vAlign w:val="center"/>
          </w:tcPr>
          <w:p w14:paraId="60A75D5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lang w:val="en-US" w:eastAsia="zh-CN"/>
              </w:rPr>
              <w:t>各职能部门负责</w:t>
            </w:r>
          </w:p>
        </w:tc>
      </w:tr>
      <w:tr w14:paraId="2BD6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1E6367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E74E2E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131A53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22D013C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E0C1580">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行政执法机关依法委托执法的，是否公开并及时更新受委托组织和执法人员的信息，委托执法的依据、事项、权限、期限、双方权利和义务、法律责任等信息</w:t>
            </w:r>
          </w:p>
        </w:tc>
        <w:tc>
          <w:tcPr>
            <w:tcW w:w="1501" w:type="dxa"/>
            <w:vMerge w:val="continue"/>
            <w:shd w:val="clear" w:color="auto" w:fill="auto"/>
            <w:vAlign w:val="center"/>
          </w:tcPr>
          <w:p w14:paraId="7876D65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9D0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07" w:type="dxa"/>
            <w:vMerge w:val="continue"/>
            <w:shd w:val="clear" w:color="auto" w:fill="auto"/>
            <w:vAlign w:val="center"/>
          </w:tcPr>
          <w:p w14:paraId="3B63332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97FBD6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F749F0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2A50295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事后公开</w:t>
            </w:r>
          </w:p>
        </w:tc>
        <w:tc>
          <w:tcPr>
            <w:tcW w:w="7500" w:type="dxa"/>
            <w:shd w:val="clear" w:color="auto" w:fill="auto"/>
            <w:vAlign w:val="center"/>
          </w:tcPr>
          <w:p w14:paraId="1670BA8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是否按时向社会公示行政执法决定书文号、行政执法相对人名称、行政执法事项名称、主要事实、依据、作出行政执法决定的行政执法机关名称和日期等执法结果信息</w:t>
            </w:r>
          </w:p>
        </w:tc>
        <w:tc>
          <w:tcPr>
            <w:tcW w:w="1501" w:type="dxa"/>
            <w:vMerge w:val="continue"/>
            <w:shd w:val="clear" w:color="auto" w:fill="auto"/>
            <w:vAlign w:val="center"/>
          </w:tcPr>
          <w:p w14:paraId="27F462F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BB2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307" w:type="dxa"/>
            <w:vMerge w:val="continue"/>
            <w:shd w:val="clear" w:color="auto" w:fill="auto"/>
            <w:vAlign w:val="center"/>
          </w:tcPr>
          <w:p w14:paraId="7411A0C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B17466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F61ECD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ABB7D6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599416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是否于每年1月31日前公开本地区所有行政执法主体上年度行政执法总体情况有关数据</w:t>
            </w:r>
          </w:p>
        </w:tc>
        <w:tc>
          <w:tcPr>
            <w:tcW w:w="1501" w:type="dxa"/>
            <w:vMerge w:val="continue"/>
            <w:shd w:val="clear" w:color="auto" w:fill="auto"/>
            <w:vAlign w:val="center"/>
          </w:tcPr>
          <w:p w14:paraId="75360D1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A3A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2F94BC7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8D07E6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7EA334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1C7699D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反不正当竞争</w:t>
            </w:r>
          </w:p>
        </w:tc>
        <w:tc>
          <w:tcPr>
            <w:tcW w:w="7500" w:type="dxa"/>
            <w:shd w:val="clear" w:color="auto" w:fill="auto"/>
            <w:vAlign w:val="center"/>
          </w:tcPr>
          <w:p w14:paraId="4B05FDA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是否及时公开涉及本地区的反不正当竞争执法信息</w:t>
            </w:r>
          </w:p>
        </w:tc>
        <w:tc>
          <w:tcPr>
            <w:tcW w:w="1501" w:type="dxa"/>
            <w:vMerge w:val="continue"/>
            <w:shd w:val="clear" w:color="auto" w:fill="auto"/>
            <w:vAlign w:val="center"/>
          </w:tcPr>
          <w:p w14:paraId="6855DDC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20F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307" w:type="dxa"/>
            <w:vMerge w:val="continue"/>
            <w:shd w:val="clear" w:color="auto" w:fill="auto"/>
            <w:vAlign w:val="center"/>
          </w:tcPr>
          <w:p w14:paraId="08852DE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204160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1F7D2F6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扩大有效投资</w:t>
            </w:r>
          </w:p>
        </w:tc>
        <w:tc>
          <w:tcPr>
            <w:tcW w:w="1800" w:type="dxa"/>
            <w:shd w:val="clear" w:color="auto" w:fill="auto"/>
            <w:vAlign w:val="center"/>
          </w:tcPr>
          <w:p w14:paraId="7813F7C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政策规划</w:t>
            </w:r>
          </w:p>
        </w:tc>
        <w:tc>
          <w:tcPr>
            <w:tcW w:w="7500" w:type="dxa"/>
            <w:shd w:val="clear" w:color="auto" w:fill="auto"/>
            <w:vAlign w:val="center"/>
          </w:tcPr>
          <w:p w14:paraId="621CBE7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是否集中公开本地区制定或执行的扩大有效投资相关规划、政策文件</w:t>
            </w:r>
          </w:p>
        </w:tc>
        <w:tc>
          <w:tcPr>
            <w:tcW w:w="1501" w:type="dxa"/>
            <w:vMerge w:val="restart"/>
            <w:shd w:val="clear" w:color="auto" w:fill="auto"/>
            <w:vAlign w:val="center"/>
          </w:tcPr>
          <w:p w14:paraId="5FF077C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5F1BB0A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经济发展部</w:t>
            </w:r>
          </w:p>
        </w:tc>
      </w:tr>
      <w:tr w14:paraId="10A5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07" w:type="dxa"/>
            <w:vMerge w:val="continue"/>
            <w:shd w:val="clear" w:color="auto" w:fill="auto"/>
            <w:vAlign w:val="center"/>
          </w:tcPr>
          <w:p w14:paraId="47DC44B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122BA9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16706F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1656C1F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重大建设项目</w:t>
            </w:r>
          </w:p>
        </w:tc>
        <w:tc>
          <w:tcPr>
            <w:tcW w:w="7500" w:type="dxa"/>
            <w:shd w:val="clear" w:color="auto" w:fill="auto"/>
            <w:vAlign w:val="center"/>
          </w:tcPr>
          <w:p w14:paraId="6C17BE0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是否根据本区域特点和工作侧重点，明确重大建设项目范围或发布重大建设项目清单</w:t>
            </w:r>
          </w:p>
        </w:tc>
        <w:tc>
          <w:tcPr>
            <w:tcW w:w="1501" w:type="dxa"/>
            <w:vMerge w:val="continue"/>
            <w:shd w:val="clear" w:color="auto" w:fill="auto"/>
            <w:vAlign w:val="center"/>
          </w:tcPr>
          <w:p w14:paraId="0661B56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5296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07" w:type="dxa"/>
            <w:vMerge w:val="continue"/>
            <w:shd w:val="clear" w:color="auto" w:fill="auto"/>
            <w:vAlign w:val="center"/>
          </w:tcPr>
          <w:p w14:paraId="59997A4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9CD2AE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6D3D13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26CE5E7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262028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是否集中发布重大建设项目相关的申报要求、申报材料清单、批准流程、办理时限、受理机构联系方式、监督举报方式等服务信息</w:t>
            </w:r>
          </w:p>
        </w:tc>
        <w:tc>
          <w:tcPr>
            <w:tcW w:w="1501" w:type="dxa"/>
            <w:vMerge w:val="continue"/>
            <w:shd w:val="clear" w:color="auto" w:fill="auto"/>
            <w:vAlign w:val="center"/>
          </w:tcPr>
          <w:p w14:paraId="62E0E94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651F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1307" w:type="dxa"/>
            <w:vMerge w:val="continue"/>
            <w:shd w:val="clear" w:color="auto" w:fill="auto"/>
            <w:vAlign w:val="center"/>
          </w:tcPr>
          <w:p w14:paraId="2072027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6656BD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DAD2A8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5B526D3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FDBC000">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是否按照要求公开重大建设项目的批准结果信息、招标投标信息、征收土地信息、重大设计变更信息、施工有关信息、质量安全监督信息、竣工有关信息等</w:t>
            </w:r>
          </w:p>
        </w:tc>
        <w:tc>
          <w:tcPr>
            <w:tcW w:w="1501" w:type="dxa"/>
            <w:shd w:val="clear" w:color="auto" w:fill="auto"/>
            <w:vAlign w:val="center"/>
          </w:tcPr>
          <w:p w14:paraId="7EB6279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经济发展部、</w:t>
            </w:r>
            <w:r>
              <w:rPr>
                <w:rFonts w:hint="eastAsia" w:ascii="仿宋_GB2312" w:hAnsi="等线" w:eastAsia="仿宋_GB2312" w:cs="宋体"/>
                <w:color w:val="000000"/>
                <w:kern w:val="0"/>
                <w:sz w:val="24"/>
                <w:szCs w:val="21"/>
                <w:lang w:val="en-US" w:eastAsia="zh-CN"/>
              </w:rPr>
              <w:t>建设管理部牵头，有关部门配合</w:t>
            </w:r>
          </w:p>
        </w:tc>
      </w:tr>
      <w:tr w14:paraId="75C4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07" w:type="dxa"/>
            <w:vMerge w:val="restart"/>
            <w:shd w:val="clear" w:color="auto" w:fill="auto"/>
            <w:vAlign w:val="center"/>
          </w:tcPr>
          <w:p w14:paraId="6908DB8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6B60F22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1F42C45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优化营商环境</w:t>
            </w:r>
          </w:p>
        </w:tc>
        <w:tc>
          <w:tcPr>
            <w:tcW w:w="1800" w:type="dxa"/>
            <w:vMerge w:val="restart"/>
            <w:shd w:val="clear" w:color="auto" w:fill="auto"/>
            <w:vAlign w:val="center"/>
          </w:tcPr>
          <w:p w14:paraId="7E3579E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减税降费</w:t>
            </w:r>
          </w:p>
        </w:tc>
        <w:tc>
          <w:tcPr>
            <w:tcW w:w="7500" w:type="dxa"/>
            <w:shd w:val="clear" w:color="auto" w:fill="auto"/>
            <w:vAlign w:val="center"/>
          </w:tcPr>
          <w:p w14:paraId="45A43A3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是否集中整理和发布已出台各项减税降费政策，以及促进创业创新、中小微企业及特殊困难行业的纾难解困、保障和改善民生等税费优惠政策，特别是大规模增值税留抵退税政策</w:t>
            </w:r>
          </w:p>
        </w:tc>
        <w:tc>
          <w:tcPr>
            <w:tcW w:w="1501" w:type="dxa"/>
            <w:vMerge w:val="restart"/>
            <w:shd w:val="clear" w:color="auto" w:fill="auto"/>
            <w:vAlign w:val="center"/>
          </w:tcPr>
          <w:p w14:paraId="18DB37A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财政金融部、</w:t>
            </w:r>
            <w:r>
              <w:rPr>
                <w:rFonts w:hint="eastAsia" w:ascii="仿宋_GB2312" w:hAnsi="等线" w:eastAsia="仿宋_GB2312" w:cs="宋体"/>
                <w:color w:val="000000"/>
                <w:kern w:val="0"/>
                <w:sz w:val="24"/>
                <w:szCs w:val="21"/>
                <w:lang w:val="en-US" w:eastAsia="zh-CN"/>
              </w:rPr>
              <w:t>区税务局</w:t>
            </w:r>
          </w:p>
        </w:tc>
      </w:tr>
      <w:tr w14:paraId="6677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378403D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500EC3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92C3AF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45DCFE3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00021E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是否及时公开减税降费政策落实情况和政策成效</w:t>
            </w:r>
          </w:p>
        </w:tc>
        <w:tc>
          <w:tcPr>
            <w:tcW w:w="1501" w:type="dxa"/>
            <w:vMerge w:val="continue"/>
            <w:shd w:val="clear" w:color="auto" w:fill="auto"/>
            <w:vAlign w:val="center"/>
          </w:tcPr>
          <w:p w14:paraId="4D54BF9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694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07" w:type="dxa"/>
            <w:vMerge w:val="continue"/>
            <w:shd w:val="clear" w:color="auto" w:fill="auto"/>
            <w:vAlign w:val="center"/>
          </w:tcPr>
          <w:p w14:paraId="128BEA2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387FB8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4FF0F1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46C8DB3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收费目录清单</w:t>
            </w:r>
          </w:p>
        </w:tc>
        <w:tc>
          <w:tcPr>
            <w:tcW w:w="7500" w:type="dxa"/>
            <w:shd w:val="clear" w:color="auto" w:fill="auto"/>
            <w:vAlign w:val="center"/>
          </w:tcPr>
          <w:p w14:paraId="792D666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是否及时公开本地区执行的政府性基金、涉企行政事业性收费、涉企保证金以及实行政府定价的经营服务性收费等目录清单</w:t>
            </w:r>
          </w:p>
        </w:tc>
        <w:tc>
          <w:tcPr>
            <w:tcW w:w="1501" w:type="dxa"/>
            <w:shd w:val="clear" w:color="auto" w:fill="auto"/>
            <w:vAlign w:val="center"/>
          </w:tcPr>
          <w:p w14:paraId="1323B0E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财政金融部、</w:t>
            </w:r>
            <w:r>
              <w:rPr>
                <w:rFonts w:hint="eastAsia" w:ascii="仿宋_GB2312" w:hAnsi="等线" w:eastAsia="仿宋_GB2312" w:cs="宋体"/>
                <w:color w:val="000000"/>
                <w:kern w:val="0"/>
                <w:sz w:val="24"/>
                <w:szCs w:val="21"/>
                <w:lang w:val="en-US" w:eastAsia="zh-CN"/>
              </w:rPr>
              <w:t>经济发展部</w:t>
            </w:r>
          </w:p>
        </w:tc>
      </w:tr>
      <w:tr w14:paraId="400E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08A77A1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BF9790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5ABA28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39BB0FA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惠企政策送达</w:t>
            </w:r>
          </w:p>
        </w:tc>
        <w:tc>
          <w:tcPr>
            <w:tcW w:w="7500" w:type="dxa"/>
            <w:shd w:val="clear" w:color="auto" w:fill="auto"/>
            <w:vAlign w:val="center"/>
          </w:tcPr>
          <w:p w14:paraId="5E22630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是否在门户网站、政务服务平台等醒目位置设置惠企政策专区</w:t>
            </w:r>
          </w:p>
        </w:tc>
        <w:tc>
          <w:tcPr>
            <w:tcW w:w="1501" w:type="dxa"/>
            <w:shd w:val="clear" w:color="auto" w:fill="auto"/>
            <w:vAlign w:val="center"/>
          </w:tcPr>
          <w:p w14:paraId="358822C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数字城市部</w:t>
            </w:r>
          </w:p>
        </w:tc>
      </w:tr>
      <w:tr w14:paraId="7C27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3AED2C5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69D734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5ECEAC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A76A6D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4DB9AB9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是否汇集本地区本领域市场主体适用的惠企政策，并多维分类，以及结合企业类型、办事需求等主动推送情况</w:t>
            </w:r>
          </w:p>
        </w:tc>
        <w:tc>
          <w:tcPr>
            <w:tcW w:w="1501" w:type="dxa"/>
            <w:shd w:val="clear" w:color="auto" w:fill="auto"/>
            <w:vAlign w:val="center"/>
          </w:tcPr>
          <w:p w14:paraId="3A42A44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11"/>
                <w:kern w:val="0"/>
                <w:sz w:val="24"/>
                <w:szCs w:val="21"/>
                <w:lang w:val="en-US" w:eastAsia="zh-CN"/>
              </w:rPr>
              <w:t>数字城市部、经济发展部、产业促进部牵头，各职能部门配合</w:t>
            </w:r>
          </w:p>
        </w:tc>
      </w:tr>
      <w:tr w14:paraId="6C56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56CAB96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7F0E1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1739393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义务教育</w:t>
            </w:r>
          </w:p>
        </w:tc>
        <w:tc>
          <w:tcPr>
            <w:tcW w:w="1800" w:type="dxa"/>
            <w:vMerge w:val="restart"/>
            <w:shd w:val="clear" w:color="auto" w:fill="auto"/>
            <w:vAlign w:val="center"/>
          </w:tcPr>
          <w:p w14:paraId="2B0E86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教育概况</w:t>
            </w:r>
          </w:p>
        </w:tc>
        <w:tc>
          <w:tcPr>
            <w:tcW w:w="7500" w:type="dxa"/>
            <w:shd w:val="clear" w:color="auto" w:fill="auto"/>
            <w:vAlign w:val="center"/>
          </w:tcPr>
          <w:p w14:paraId="3535D7E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是否定期公开本地区教育事业发展主要情况</w:t>
            </w:r>
          </w:p>
        </w:tc>
        <w:tc>
          <w:tcPr>
            <w:tcW w:w="1501" w:type="dxa"/>
            <w:vMerge w:val="restart"/>
            <w:shd w:val="clear" w:color="auto" w:fill="auto"/>
            <w:vAlign w:val="center"/>
          </w:tcPr>
          <w:p w14:paraId="1FC9E42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社会事业部</w:t>
            </w:r>
          </w:p>
        </w:tc>
      </w:tr>
      <w:tr w14:paraId="5AF2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07" w:type="dxa"/>
            <w:vMerge w:val="continue"/>
            <w:shd w:val="clear" w:color="auto" w:fill="auto"/>
            <w:vAlign w:val="center"/>
          </w:tcPr>
          <w:p w14:paraId="6DB4459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3FA3FD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BDE89B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E91BD7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FF4138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是否定期发布本地区教育统计数据，包括学校数据、在校生数据、教师数据、办学条件数据、县级汇总数据等</w:t>
            </w:r>
          </w:p>
        </w:tc>
        <w:tc>
          <w:tcPr>
            <w:tcW w:w="1501" w:type="dxa"/>
            <w:vMerge w:val="continue"/>
            <w:shd w:val="clear" w:color="auto" w:fill="auto"/>
            <w:vAlign w:val="center"/>
          </w:tcPr>
          <w:p w14:paraId="77376CB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5BCC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07" w:type="dxa"/>
            <w:vMerge w:val="continue"/>
            <w:shd w:val="clear" w:color="auto" w:fill="auto"/>
            <w:vAlign w:val="center"/>
          </w:tcPr>
          <w:p w14:paraId="142FCC5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A25087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4C3533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97C896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32AA5BB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是否及时更新并公开本地区义务教育学校名录，包括学校名称、学校地址、办学层次、办学类型、办公电话等</w:t>
            </w:r>
          </w:p>
        </w:tc>
        <w:tc>
          <w:tcPr>
            <w:tcW w:w="1501" w:type="dxa"/>
            <w:vMerge w:val="continue"/>
            <w:shd w:val="clear" w:color="auto" w:fill="auto"/>
            <w:vAlign w:val="center"/>
          </w:tcPr>
          <w:p w14:paraId="5789DB4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5155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07" w:type="dxa"/>
            <w:vMerge w:val="restart"/>
            <w:shd w:val="clear" w:color="auto" w:fill="auto"/>
            <w:vAlign w:val="center"/>
          </w:tcPr>
          <w:p w14:paraId="7114A3D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1E2B50C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0D4B9D2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义务教育</w:t>
            </w:r>
          </w:p>
        </w:tc>
        <w:tc>
          <w:tcPr>
            <w:tcW w:w="1800" w:type="dxa"/>
            <w:vMerge w:val="restart"/>
            <w:shd w:val="clear" w:color="auto" w:fill="auto"/>
            <w:vAlign w:val="center"/>
          </w:tcPr>
          <w:p w14:paraId="24D60BA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招生管理</w:t>
            </w:r>
          </w:p>
        </w:tc>
        <w:tc>
          <w:tcPr>
            <w:tcW w:w="7500" w:type="dxa"/>
            <w:shd w:val="clear" w:color="auto" w:fill="auto"/>
            <w:vAlign w:val="center"/>
          </w:tcPr>
          <w:p w14:paraId="3D03127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是否及时公开本地区202</w:t>
            </w:r>
            <w:r>
              <w:rPr>
                <w:rFonts w:hint="eastAsia" w:ascii="仿宋_GB2312" w:hAnsi="等线" w:eastAsia="仿宋_GB2312" w:cs="宋体"/>
                <w:color w:val="000000"/>
                <w:kern w:val="0"/>
                <w:sz w:val="24"/>
                <w:szCs w:val="21"/>
                <w:lang w:val="en-US" w:eastAsia="zh-CN"/>
              </w:rPr>
              <w:t>5</w:t>
            </w:r>
            <w:r>
              <w:rPr>
                <w:rFonts w:hint="eastAsia" w:ascii="仿宋_GB2312" w:hAnsi="等线" w:eastAsia="仿宋_GB2312" w:cs="宋体"/>
                <w:color w:val="000000"/>
                <w:kern w:val="0"/>
                <w:sz w:val="24"/>
                <w:szCs w:val="21"/>
              </w:rPr>
              <w:t>年招生政策、招生计划、招生范围、咨询方式等信息</w:t>
            </w:r>
          </w:p>
        </w:tc>
        <w:tc>
          <w:tcPr>
            <w:tcW w:w="1501" w:type="dxa"/>
            <w:vMerge w:val="restart"/>
            <w:shd w:val="clear" w:color="auto" w:fill="auto"/>
            <w:vAlign w:val="center"/>
          </w:tcPr>
          <w:p w14:paraId="1EAC540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lang w:val="en-US" w:eastAsia="zh-CN"/>
              </w:rPr>
              <w:t>社会事业部</w:t>
            </w:r>
          </w:p>
        </w:tc>
      </w:tr>
      <w:tr w14:paraId="3FA9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00BD0CB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55D486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2EC8D4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3E287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64A21B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是否在招生工作结束后及时公开招生结果</w:t>
            </w:r>
          </w:p>
        </w:tc>
        <w:tc>
          <w:tcPr>
            <w:tcW w:w="1501" w:type="dxa"/>
            <w:vMerge w:val="continue"/>
            <w:shd w:val="clear" w:color="auto" w:fill="auto"/>
            <w:vAlign w:val="center"/>
          </w:tcPr>
          <w:p w14:paraId="37C4782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bidi="ar-SA"/>
              </w:rPr>
            </w:pPr>
          </w:p>
        </w:tc>
      </w:tr>
      <w:tr w14:paraId="757F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52DF853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F39F0A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536B93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7E49631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学生管理</w:t>
            </w:r>
          </w:p>
        </w:tc>
        <w:tc>
          <w:tcPr>
            <w:tcW w:w="7500" w:type="dxa"/>
            <w:shd w:val="clear" w:color="auto" w:fill="auto"/>
            <w:vAlign w:val="center"/>
          </w:tcPr>
          <w:p w14:paraId="7C74219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是否及时公开学籍管理、义务教育学生资助政策、学生优待政策等信息</w:t>
            </w:r>
          </w:p>
        </w:tc>
        <w:tc>
          <w:tcPr>
            <w:tcW w:w="1501" w:type="dxa"/>
            <w:vMerge w:val="restart"/>
            <w:shd w:val="clear" w:color="auto" w:fill="auto"/>
            <w:vAlign w:val="center"/>
          </w:tcPr>
          <w:p w14:paraId="403E0DB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社会事业部</w:t>
            </w:r>
          </w:p>
        </w:tc>
      </w:tr>
      <w:tr w14:paraId="207E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07" w:type="dxa"/>
            <w:vMerge w:val="continue"/>
            <w:shd w:val="clear" w:color="auto" w:fill="auto"/>
            <w:vAlign w:val="center"/>
          </w:tcPr>
          <w:p w14:paraId="171D6A2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5AF7B3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39C226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A919FB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4F10DA6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是否及时公开本地区统一城乡义务教育“两免一补”政策等义务教育学生资助政策</w:t>
            </w:r>
          </w:p>
        </w:tc>
        <w:tc>
          <w:tcPr>
            <w:tcW w:w="1501" w:type="dxa"/>
            <w:vMerge w:val="continue"/>
            <w:shd w:val="clear" w:color="auto" w:fill="auto"/>
            <w:vAlign w:val="center"/>
          </w:tcPr>
          <w:p w14:paraId="0E786C4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F9E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307" w:type="dxa"/>
            <w:vMerge w:val="continue"/>
            <w:shd w:val="clear" w:color="auto" w:fill="auto"/>
            <w:vAlign w:val="center"/>
          </w:tcPr>
          <w:p w14:paraId="25D82B5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1E9C93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A148E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2A5C5F7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8A3D55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是否及时公开学生评优奖励信息，包括省市县“三好学生”“优秀学生干部”评选标准、评比方法、表彰名单等</w:t>
            </w:r>
          </w:p>
        </w:tc>
        <w:tc>
          <w:tcPr>
            <w:tcW w:w="1501" w:type="dxa"/>
            <w:vMerge w:val="continue"/>
            <w:shd w:val="clear" w:color="auto" w:fill="auto"/>
            <w:vAlign w:val="center"/>
          </w:tcPr>
          <w:p w14:paraId="74FCEF2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B51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07" w:type="dxa"/>
            <w:vMerge w:val="continue"/>
            <w:shd w:val="clear" w:color="auto" w:fill="auto"/>
            <w:vAlign w:val="center"/>
          </w:tcPr>
          <w:p w14:paraId="4729589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28174F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1043561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食品药品监管</w:t>
            </w:r>
          </w:p>
        </w:tc>
        <w:tc>
          <w:tcPr>
            <w:tcW w:w="1800" w:type="dxa"/>
            <w:shd w:val="clear" w:color="auto" w:fill="auto"/>
            <w:vAlign w:val="center"/>
          </w:tcPr>
          <w:p w14:paraId="688F18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生产经营监督检查</w:t>
            </w:r>
          </w:p>
        </w:tc>
        <w:tc>
          <w:tcPr>
            <w:tcW w:w="7500" w:type="dxa"/>
            <w:shd w:val="clear" w:color="auto" w:fill="auto"/>
            <w:vAlign w:val="center"/>
          </w:tcPr>
          <w:p w14:paraId="3790B61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是否能够公开本地区食品生产经营监督检查情况，包括工作计划、检查标准、检查结果等信息</w:t>
            </w:r>
          </w:p>
        </w:tc>
        <w:tc>
          <w:tcPr>
            <w:tcW w:w="1501" w:type="dxa"/>
            <w:vMerge w:val="restart"/>
            <w:shd w:val="clear" w:color="auto" w:fill="auto"/>
            <w:vAlign w:val="center"/>
          </w:tcPr>
          <w:p w14:paraId="66DADBE8">
            <w:pPr>
              <w:keepNext w:val="0"/>
              <w:keepLines w:val="0"/>
              <w:pageBreakBefore w:val="0"/>
              <w:widowControl/>
              <w:kinsoku w:val="0"/>
              <w:wordWrap/>
              <w:overflowPunct/>
              <w:topLinePunct w:val="0"/>
              <w:autoSpaceDE w:val="0"/>
              <w:autoSpaceDN w:val="0"/>
              <w:bidi w:val="0"/>
              <w:adjustRightInd w:val="0"/>
              <w:snapToGrid w:val="0"/>
              <w:spacing w:line="240" w:lineRule="atLeast"/>
              <w:jc w:val="both"/>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综合执法部</w:t>
            </w:r>
          </w:p>
        </w:tc>
      </w:tr>
      <w:tr w14:paraId="1FB0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DABAC5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043882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A479E5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52A632A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食品安全抽检</w:t>
            </w:r>
          </w:p>
        </w:tc>
        <w:tc>
          <w:tcPr>
            <w:tcW w:w="7500" w:type="dxa"/>
            <w:shd w:val="clear" w:color="auto" w:fill="auto"/>
            <w:vAlign w:val="center"/>
          </w:tcPr>
          <w:p w14:paraId="2FA46D1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是否及时向社会公开由本级组织的食品安全抽检情况，包括检查实施主体、被抽检单位名称、被抽检食品名称、标示的产品生产日期/批号/规格、检验依据、检验机构、检查结果</w:t>
            </w:r>
          </w:p>
        </w:tc>
        <w:tc>
          <w:tcPr>
            <w:tcW w:w="1501" w:type="dxa"/>
            <w:vMerge w:val="continue"/>
            <w:shd w:val="clear" w:color="auto" w:fill="auto"/>
            <w:vAlign w:val="center"/>
          </w:tcPr>
          <w:p w14:paraId="1428179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3242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07" w:type="dxa"/>
            <w:vMerge w:val="continue"/>
            <w:shd w:val="clear" w:color="auto" w:fill="auto"/>
            <w:vAlign w:val="center"/>
          </w:tcPr>
          <w:p w14:paraId="18B91A6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4BEE62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EA1876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2A4B166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药品零售经营监督检查</w:t>
            </w:r>
          </w:p>
        </w:tc>
        <w:tc>
          <w:tcPr>
            <w:tcW w:w="7500" w:type="dxa"/>
            <w:shd w:val="clear" w:color="auto" w:fill="auto"/>
            <w:vAlign w:val="center"/>
          </w:tcPr>
          <w:p w14:paraId="2321282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是否及时公开本地区药品零售经营监督检查情况，包括检查制度、检查标准、检查结果等信息</w:t>
            </w:r>
          </w:p>
        </w:tc>
        <w:tc>
          <w:tcPr>
            <w:tcW w:w="1501" w:type="dxa"/>
            <w:vMerge w:val="continue"/>
            <w:shd w:val="clear" w:color="auto" w:fill="auto"/>
            <w:vAlign w:val="center"/>
          </w:tcPr>
          <w:p w14:paraId="38156C8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7D68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752AA3A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082BD4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158185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25D74DD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食品安全消费提示警示</w:t>
            </w:r>
          </w:p>
        </w:tc>
        <w:tc>
          <w:tcPr>
            <w:tcW w:w="7500" w:type="dxa"/>
            <w:shd w:val="clear" w:color="auto" w:fill="auto"/>
            <w:vAlign w:val="center"/>
          </w:tcPr>
          <w:p w14:paraId="0114C6E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rPr>
              <w:t>是否及时发布本地区食品安全消费提示、警示信息</w:t>
            </w:r>
          </w:p>
        </w:tc>
        <w:tc>
          <w:tcPr>
            <w:tcW w:w="1501" w:type="dxa"/>
            <w:vMerge w:val="continue"/>
            <w:shd w:val="clear" w:color="auto" w:fill="auto"/>
            <w:vAlign w:val="center"/>
          </w:tcPr>
          <w:p w14:paraId="34AF87C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6DEC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0C44715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0436B4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shd w:val="clear" w:color="auto" w:fill="auto"/>
            <w:vAlign w:val="center"/>
          </w:tcPr>
          <w:p w14:paraId="1D8A1D1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社会救助</w:t>
            </w:r>
          </w:p>
        </w:tc>
        <w:tc>
          <w:tcPr>
            <w:tcW w:w="1800" w:type="dxa"/>
            <w:shd w:val="clear" w:color="auto" w:fill="auto"/>
            <w:vAlign w:val="center"/>
          </w:tcPr>
          <w:p w14:paraId="753C8F7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救助政策</w:t>
            </w:r>
          </w:p>
        </w:tc>
        <w:tc>
          <w:tcPr>
            <w:tcW w:w="7500" w:type="dxa"/>
            <w:shd w:val="clear" w:color="auto" w:fill="auto"/>
            <w:vAlign w:val="center"/>
          </w:tcPr>
          <w:p w14:paraId="03D2483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是否集中整理和发布本地区制定和执行的最低生活保障、特困人员救助供养、医疗救助、临时救助有关救助政策信息</w:t>
            </w:r>
          </w:p>
        </w:tc>
        <w:tc>
          <w:tcPr>
            <w:tcW w:w="1501" w:type="dxa"/>
            <w:shd w:val="clear" w:color="auto" w:fill="auto"/>
            <w:vAlign w:val="center"/>
          </w:tcPr>
          <w:p w14:paraId="21CF363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社会事业部</w:t>
            </w:r>
          </w:p>
        </w:tc>
      </w:tr>
      <w:tr w14:paraId="5E2B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07" w:type="dxa"/>
            <w:vMerge w:val="restart"/>
            <w:shd w:val="clear" w:color="auto" w:fill="auto"/>
            <w:vAlign w:val="center"/>
          </w:tcPr>
          <w:p w14:paraId="622ACE0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143AAAD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10A2D7A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rPr>
              <w:t>社会救助</w:t>
            </w:r>
          </w:p>
        </w:tc>
        <w:tc>
          <w:tcPr>
            <w:tcW w:w="1800" w:type="dxa"/>
            <w:shd w:val="clear" w:color="auto" w:fill="auto"/>
            <w:vAlign w:val="center"/>
          </w:tcPr>
          <w:p w14:paraId="4BEA790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救助标准</w:t>
            </w:r>
          </w:p>
        </w:tc>
        <w:tc>
          <w:tcPr>
            <w:tcW w:w="7500" w:type="dxa"/>
            <w:shd w:val="clear" w:color="auto" w:fill="auto"/>
            <w:vAlign w:val="center"/>
          </w:tcPr>
          <w:p w14:paraId="2819B20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是否及时公开城乡低保、特困人员救助供养、医疗救助、临时救助的救助对象认定、救助标准</w:t>
            </w:r>
          </w:p>
        </w:tc>
        <w:tc>
          <w:tcPr>
            <w:tcW w:w="1501" w:type="dxa"/>
            <w:vMerge w:val="restart"/>
            <w:shd w:val="clear" w:color="auto" w:fill="auto"/>
            <w:vAlign w:val="center"/>
          </w:tcPr>
          <w:p w14:paraId="69C4B73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lang w:val="en-US" w:eastAsia="zh-CN"/>
              </w:rPr>
              <w:t>社会事业部</w:t>
            </w:r>
          </w:p>
        </w:tc>
      </w:tr>
      <w:tr w14:paraId="099A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07" w:type="dxa"/>
            <w:vMerge w:val="continue"/>
            <w:shd w:val="clear" w:color="auto" w:fill="auto"/>
            <w:vAlign w:val="center"/>
          </w:tcPr>
          <w:p w14:paraId="7E0D388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8102DF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BF7FDD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p>
        </w:tc>
        <w:tc>
          <w:tcPr>
            <w:tcW w:w="1800" w:type="dxa"/>
            <w:shd w:val="clear" w:color="auto" w:fill="auto"/>
            <w:vAlign w:val="center"/>
          </w:tcPr>
          <w:p w14:paraId="2879FEC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申报指南</w:t>
            </w:r>
          </w:p>
        </w:tc>
        <w:tc>
          <w:tcPr>
            <w:tcW w:w="7500" w:type="dxa"/>
            <w:shd w:val="clear" w:color="auto" w:fill="auto"/>
            <w:vAlign w:val="center"/>
          </w:tcPr>
          <w:p w14:paraId="029BBE9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是否公开城乡低保、特困人员救助供养、医疗救助、临时救助的申报指南</w:t>
            </w:r>
          </w:p>
        </w:tc>
        <w:tc>
          <w:tcPr>
            <w:tcW w:w="1501" w:type="dxa"/>
            <w:vMerge w:val="continue"/>
            <w:shd w:val="clear" w:color="auto" w:fill="auto"/>
            <w:vAlign w:val="center"/>
          </w:tcPr>
          <w:p w14:paraId="0C9898C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bidi="ar-SA"/>
              </w:rPr>
            </w:pPr>
          </w:p>
        </w:tc>
      </w:tr>
      <w:tr w14:paraId="03B1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1307" w:type="dxa"/>
            <w:vMerge w:val="continue"/>
            <w:shd w:val="clear" w:color="auto" w:fill="auto"/>
            <w:vAlign w:val="center"/>
          </w:tcPr>
          <w:p w14:paraId="14804F7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82F64B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425751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31E7A15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救助情况</w:t>
            </w:r>
          </w:p>
        </w:tc>
        <w:tc>
          <w:tcPr>
            <w:tcW w:w="7500" w:type="dxa"/>
            <w:shd w:val="clear" w:color="auto" w:fill="auto"/>
            <w:vAlign w:val="center"/>
          </w:tcPr>
          <w:p w14:paraId="7066940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是否公开城乡低保、特困人员救助供养、医疗救助、临时救助的救助对象名单、人次数、资金支出情况等</w:t>
            </w:r>
          </w:p>
        </w:tc>
        <w:tc>
          <w:tcPr>
            <w:tcW w:w="1501" w:type="dxa"/>
            <w:vMerge w:val="continue"/>
            <w:shd w:val="clear" w:color="auto" w:fill="auto"/>
            <w:vAlign w:val="center"/>
          </w:tcPr>
          <w:p w14:paraId="78E9AD2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E60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07" w:type="dxa"/>
            <w:vMerge w:val="continue"/>
            <w:shd w:val="clear" w:color="auto" w:fill="auto"/>
            <w:vAlign w:val="center"/>
          </w:tcPr>
          <w:p w14:paraId="3BE7501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ACF00E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0BD8F7B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稳岗就业</w:t>
            </w:r>
          </w:p>
        </w:tc>
        <w:tc>
          <w:tcPr>
            <w:tcW w:w="1800" w:type="dxa"/>
            <w:vMerge w:val="restart"/>
            <w:shd w:val="clear" w:color="auto" w:fill="auto"/>
            <w:vAlign w:val="center"/>
          </w:tcPr>
          <w:p w14:paraId="79475F5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就业政策</w:t>
            </w:r>
          </w:p>
        </w:tc>
        <w:tc>
          <w:tcPr>
            <w:tcW w:w="7500" w:type="dxa"/>
            <w:shd w:val="clear" w:color="auto" w:fill="auto"/>
            <w:vAlign w:val="center"/>
          </w:tcPr>
          <w:p w14:paraId="224AC10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是否集中整理发布面向相关群体的灵活就业支持政策</w:t>
            </w:r>
          </w:p>
        </w:tc>
        <w:tc>
          <w:tcPr>
            <w:tcW w:w="1501" w:type="dxa"/>
            <w:vMerge w:val="restart"/>
            <w:shd w:val="clear" w:color="auto" w:fill="auto"/>
            <w:vAlign w:val="center"/>
          </w:tcPr>
          <w:p w14:paraId="710A477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社会事业部</w:t>
            </w:r>
          </w:p>
        </w:tc>
      </w:tr>
      <w:tr w14:paraId="1B38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307" w:type="dxa"/>
            <w:vMerge w:val="continue"/>
            <w:shd w:val="clear" w:color="auto" w:fill="auto"/>
            <w:vAlign w:val="center"/>
          </w:tcPr>
          <w:p w14:paraId="5589AC5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9CB40B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799E7C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248ED9B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A13411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是否公开本地区就业法规咨询信息，包括就业创业政策项目、对象范围、政策申请条件、政策申请材料、办理流程、办理地点（方式）、咨询电话</w:t>
            </w:r>
          </w:p>
        </w:tc>
        <w:tc>
          <w:tcPr>
            <w:tcW w:w="1501" w:type="dxa"/>
            <w:vMerge w:val="continue"/>
            <w:shd w:val="clear" w:color="auto" w:fill="auto"/>
            <w:vAlign w:val="center"/>
          </w:tcPr>
          <w:p w14:paraId="5BF30EB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D2F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07" w:type="dxa"/>
            <w:vMerge w:val="continue"/>
            <w:shd w:val="clear" w:color="auto" w:fill="auto"/>
            <w:vAlign w:val="center"/>
          </w:tcPr>
          <w:p w14:paraId="77E5AD9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4DFFD7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B30160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0ABAED0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职业指导</w:t>
            </w:r>
          </w:p>
        </w:tc>
        <w:tc>
          <w:tcPr>
            <w:tcW w:w="7500" w:type="dxa"/>
            <w:shd w:val="clear" w:color="auto" w:fill="auto"/>
            <w:vAlign w:val="center"/>
          </w:tcPr>
          <w:p w14:paraId="11EFBD7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是否公开本地区职业指导的服务内容、服务对象、提交材料、服务时间、服务地点（方式）和咨询电话等信息</w:t>
            </w:r>
          </w:p>
        </w:tc>
        <w:tc>
          <w:tcPr>
            <w:tcW w:w="1501" w:type="dxa"/>
            <w:vMerge w:val="continue"/>
            <w:shd w:val="clear" w:color="auto" w:fill="auto"/>
            <w:vAlign w:val="center"/>
          </w:tcPr>
          <w:p w14:paraId="151BAED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9A5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07" w:type="dxa"/>
            <w:vMerge w:val="continue"/>
            <w:shd w:val="clear" w:color="auto" w:fill="auto"/>
            <w:vAlign w:val="center"/>
          </w:tcPr>
          <w:p w14:paraId="67BD78E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5D138E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338E51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79C4712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职业培训</w:t>
            </w:r>
          </w:p>
        </w:tc>
        <w:tc>
          <w:tcPr>
            <w:tcW w:w="7500" w:type="dxa"/>
            <w:shd w:val="clear" w:color="auto" w:fill="auto"/>
            <w:vAlign w:val="center"/>
          </w:tcPr>
          <w:p w14:paraId="24EA0D80">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是否动态公开</w:t>
            </w:r>
            <w:r>
              <w:rPr>
                <w:rFonts w:hint="eastAsia" w:ascii="仿宋_GB2312" w:hAnsi="等线" w:eastAsia="仿宋_GB2312" w:cs="宋体"/>
                <w:color w:val="000000"/>
                <w:kern w:val="0"/>
                <w:sz w:val="24"/>
                <w:szCs w:val="21"/>
                <w:lang w:val="en-US" w:eastAsia="zh-CN"/>
              </w:rPr>
              <w:t>补贴性</w:t>
            </w:r>
            <w:r>
              <w:rPr>
                <w:rFonts w:hint="eastAsia" w:ascii="仿宋_GB2312" w:hAnsi="等线" w:eastAsia="仿宋_GB2312" w:cs="宋体"/>
                <w:color w:val="000000"/>
                <w:kern w:val="0"/>
                <w:sz w:val="24"/>
                <w:szCs w:val="21"/>
              </w:rPr>
              <w:t>技能培训政策规定及经办流程</w:t>
            </w:r>
          </w:p>
        </w:tc>
        <w:tc>
          <w:tcPr>
            <w:tcW w:w="1501" w:type="dxa"/>
            <w:vMerge w:val="continue"/>
            <w:shd w:val="clear" w:color="auto" w:fill="auto"/>
            <w:vAlign w:val="center"/>
          </w:tcPr>
          <w:p w14:paraId="34A5F10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131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07" w:type="dxa"/>
            <w:vMerge w:val="continue"/>
            <w:shd w:val="clear" w:color="auto" w:fill="auto"/>
            <w:vAlign w:val="center"/>
          </w:tcPr>
          <w:p w14:paraId="409F661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2D39AC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8D2C8D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657F4C4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补贴信息</w:t>
            </w:r>
          </w:p>
        </w:tc>
        <w:tc>
          <w:tcPr>
            <w:tcW w:w="7500" w:type="dxa"/>
            <w:shd w:val="clear" w:color="auto" w:fill="auto"/>
            <w:vAlign w:val="center"/>
          </w:tcPr>
          <w:p w14:paraId="2D78CF1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是否及时公开就业创业相关补贴申领条件、程序、管理和审批等信息</w:t>
            </w:r>
          </w:p>
        </w:tc>
        <w:tc>
          <w:tcPr>
            <w:tcW w:w="1501" w:type="dxa"/>
            <w:vMerge w:val="continue"/>
            <w:shd w:val="clear" w:color="auto" w:fill="auto"/>
            <w:vAlign w:val="center"/>
          </w:tcPr>
          <w:p w14:paraId="5B2F1BC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90E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07" w:type="dxa"/>
            <w:vMerge w:val="continue"/>
            <w:shd w:val="clear" w:color="auto" w:fill="auto"/>
            <w:vAlign w:val="center"/>
          </w:tcPr>
          <w:p w14:paraId="02D08B9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F0C10B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F59C5B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59DD70F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就业服务</w:t>
            </w:r>
          </w:p>
        </w:tc>
        <w:tc>
          <w:tcPr>
            <w:tcW w:w="7500" w:type="dxa"/>
            <w:shd w:val="clear" w:color="auto" w:fill="auto"/>
            <w:vAlign w:val="center"/>
          </w:tcPr>
          <w:p w14:paraId="7C2F048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是否动态公开本地区就业岗位信息，包括招聘单位、岗位要求、福利待遇、招聘流程、应聘方式、咨询电话</w:t>
            </w:r>
          </w:p>
        </w:tc>
        <w:tc>
          <w:tcPr>
            <w:tcW w:w="1501" w:type="dxa"/>
            <w:vMerge w:val="continue"/>
            <w:shd w:val="clear" w:color="auto" w:fill="auto"/>
            <w:vAlign w:val="center"/>
          </w:tcPr>
          <w:p w14:paraId="6504FC0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93B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07" w:type="dxa"/>
            <w:vMerge w:val="continue"/>
            <w:shd w:val="clear" w:color="auto" w:fill="auto"/>
            <w:vAlign w:val="center"/>
          </w:tcPr>
          <w:p w14:paraId="50CE021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ABF29E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D9ACAB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56D0A16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4C8367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是否分类公开面向就业困难人员、高校毕业生、贫困劳动力、失业人员、退役军人等就业专项活动</w:t>
            </w:r>
          </w:p>
        </w:tc>
        <w:tc>
          <w:tcPr>
            <w:tcW w:w="1501" w:type="dxa"/>
            <w:vMerge w:val="continue"/>
            <w:shd w:val="clear" w:color="auto" w:fill="auto"/>
            <w:vAlign w:val="center"/>
          </w:tcPr>
          <w:p w14:paraId="3E353EE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220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07" w:type="dxa"/>
            <w:vMerge w:val="restart"/>
            <w:shd w:val="clear" w:color="auto" w:fill="auto"/>
            <w:vAlign w:val="center"/>
          </w:tcPr>
          <w:p w14:paraId="5B2F2E8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790CF14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04BD20C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养老服务</w:t>
            </w:r>
          </w:p>
        </w:tc>
        <w:tc>
          <w:tcPr>
            <w:tcW w:w="1800" w:type="dxa"/>
            <w:vMerge w:val="restart"/>
            <w:shd w:val="clear" w:color="auto" w:fill="auto"/>
            <w:vAlign w:val="center"/>
          </w:tcPr>
          <w:p w14:paraId="5517CF4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通用政策</w:t>
            </w:r>
          </w:p>
        </w:tc>
        <w:tc>
          <w:tcPr>
            <w:tcW w:w="7500" w:type="dxa"/>
            <w:shd w:val="clear" w:color="auto" w:fill="auto"/>
            <w:vAlign w:val="center"/>
          </w:tcPr>
          <w:p w14:paraId="064F5DB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是否公开本地区养老服务扶持政策措施清单及养老机构投资指南等养老服务、养老机构相关补贴政策</w:t>
            </w:r>
          </w:p>
        </w:tc>
        <w:tc>
          <w:tcPr>
            <w:tcW w:w="1501" w:type="dxa"/>
            <w:vMerge w:val="restart"/>
            <w:shd w:val="clear" w:color="auto" w:fill="auto"/>
            <w:vAlign w:val="center"/>
          </w:tcPr>
          <w:p w14:paraId="4323D92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社会事业部</w:t>
            </w:r>
          </w:p>
        </w:tc>
      </w:tr>
      <w:tr w14:paraId="0EDF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5E6ECA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660D47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28EB0C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316D4E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509649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是否公开本地区养老服务设施评估结果、养老公共服务清单等信息</w:t>
            </w:r>
          </w:p>
        </w:tc>
        <w:tc>
          <w:tcPr>
            <w:tcW w:w="1501" w:type="dxa"/>
            <w:vMerge w:val="continue"/>
            <w:shd w:val="clear" w:color="auto" w:fill="auto"/>
            <w:vAlign w:val="center"/>
          </w:tcPr>
          <w:p w14:paraId="2B6A99C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0D2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307" w:type="dxa"/>
            <w:vMerge w:val="continue"/>
            <w:shd w:val="clear" w:color="auto" w:fill="auto"/>
            <w:vAlign w:val="center"/>
          </w:tcPr>
          <w:p w14:paraId="1F6A734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09D813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779FF2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0379411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养老机构</w:t>
            </w:r>
          </w:p>
        </w:tc>
        <w:tc>
          <w:tcPr>
            <w:tcW w:w="7500" w:type="dxa"/>
            <w:shd w:val="clear" w:color="auto" w:fill="auto"/>
            <w:vAlign w:val="center"/>
          </w:tcPr>
          <w:p w14:paraId="1FD556A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是否按月公开本行政区域已备案养老机构案数量，以及已备案养老机构名称、机构地址、床位数量等基本信息</w:t>
            </w:r>
          </w:p>
        </w:tc>
        <w:tc>
          <w:tcPr>
            <w:tcW w:w="1501" w:type="dxa"/>
            <w:vMerge w:val="continue"/>
            <w:shd w:val="clear" w:color="auto" w:fill="auto"/>
            <w:vAlign w:val="center"/>
          </w:tcPr>
          <w:p w14:paraId="7F6F455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E01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307" w:type="dxa"/>
            <w:vMerge w:val="continue"/>
            <w:shd w:val="clear" w:color="auto" w:fill="auto"/>
            <w:vAlign w:val="center"/>
          </w:tcPr>
          <w:p w14:paraId="4C9DBAB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55B1F0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22E96F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4498D9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23AE62D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spacing w:val="-6"/>
                <w:kern w:val="0"/>
                <w:sz w:val="24"/>
                <w:szCs w:val="21"/>
                <w:lang w:val="en-US" w:eastAsia="zh-CN"/>
              </w:rPr>
              <w:t>是否及时公开本行政区域养老机构评估事项（综合评估、标准评定等）</w:t>
            </w:r>
            <w:r>
              <w:rPr>
                <w:rFonts w:hint="eastAsia" w:ascii="仿宋_GB2312" w:hAnsi="等线" w:eastAsia="仿宋_GB2312" w:cs="宋体"/>
                <w:color w:val="000000"/>
                <w:kern w:val="0"/>
                <w:sz w:val="24"/>
                <w:szCs w:val="21"/>
              </w:rPr>
              <w:t>申请数量、评估总体结果（综合评估、标准评估等）和评估机构清单</w:t>
            </w:r>
          </w:p>
        </w:tc>
        <w:tc>
          <w:tcPr>
            <w:tcW w:w="1501" w:type="dxa"/>
            <w:vMerge w:val="continue"/>
            <w:shd w:val="clear" w:color="auto" w:fill="auto"/>
            <w:vAlign w:val="center"/>
          </w:tcPr>
          <w:p w14:paraId="70DA870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53C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5D0401F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45AF95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315DE1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0A9B670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补贴发放情况</w:t>
            </w:r>
          </w:p>
        </w:tc>
        <w:tc>
          <w:tcPr>
            <w:tcW w:w="7500" w:type="dxa"/>
            <w:shd w:val="clear" w:color="auto" w:fill="auto"/>
            <w:vAlign w:val="center"/>
          </w:tcPr>
          <w:p w14:paraId="096EF4C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是否定期公开本行政区域各项养老服务扶持补贴申请数量，以及各项</w:t>
            </w:r>
            <w:r>
              <w:rPr>
                <w:rFonts w:hint="eastAsia" w:ascii="仿宋_GB2312" w:hAnsi="等线" w:eastAsia="仿宋_GB2312" w:cs="宋体"/>
                <w:color w:val="000000"/>
                <w:spacing w:val="-6"/>
                <w:kern w:val="0"/>
                <w:sz w:val="24"/>
                <w:szCs w:val="21"/>
                <w:lang w:val="en-US" w:eastAsia="zh-CN"/>
              </w:rPr>
              <w:t>养老服务扶持补贴申请审核通过数量、申请审核通过名单及补贴金额、</w:t>
            </w:r>
            <w:r>
              <w:rPr>
                <w:rFonts w:hint="eastAsia" w:ascii="仿宋_GB2312" w:hAnsi="等线" w:eastAsia="仿宋_GB2312" w:cs="宋体"/>
                <w:color w:val="000000"/>
                <w:kern w:val="0"/>
                <w:sz w:val="24"/>
                <w:szCs w:val="21"/>
              </w:rPr>
              <w:t>发放总金额</w:t>
            </w:r>
          </w:p>
        </w:tc>
        <w:tc>
          <w:tcPr>
            <w:tcW w:w="1501" w:type="dxa"/>
            <w:vMerge w:val="continue"/>
            <w:shd w:val="clear" w:color="auto" w:fill="auto"/>
            <w:vAlign w:val="center"/>
          </w:tcPr>
          <w:p w14:paraId="4DFF506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E3F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07" w:type="dxa"/>
            <w:vMerge w:val="continue"/>
            <w:shd w:val="clear" w:color="auto" w:fill="auto"/>
            <w:vAlign w:val="center"/>
          </w:tcPr>
          <w:p w14:paraId="7A0289F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3069AD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725908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62C073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2206CB1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是否按定期公开本区域经济困难老年人生活补贴、护理补贴，高龄津贴等各项老年人补贴申领数量、审核通过数量、审核通过名单以及各项补贴发放总金额</w:t>
            </w:r>
          </w:p>
        </w:tc>
        <w:tc>
          <w:tcPr>
            <w:tcW w:w="1501" w:type="dxa"/>
            <w:vMerge w:val="continue"/>
            <w:shd w:val="clear" w:color="auto" w:fill="auto"/>
            <w:vAlign w:val="center"/>
          </w:tcPr>
          <w:p w14:paraId="54C6C73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B40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1" w:hRule="atLeast"/>
          <w:jc w:val="center"/>
        </w:trPr>
        <w:tc>
          <w:tcPr>
            <w:tcW w:w="1307" w:type="dxa"/>
            <w:vMerge w:val="continue"/>
            <w:shd w:val="clear" w:color="auto" w:fill="auto"/>
            <w:vAlign w:val="center"/>
          </w:tcPr>
          <w:p w14:paraId="56965F5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FAB562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4C99D4F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涉农补贴</w:t>
            </w:r>
          </w:p>
        </w:tc>
        <w:tc>
          <w:tcPr>
            <w:tcW w:w="1800" w:type="dxa"/>
            <w:vMerge w:val="restart"/>
            <w:shd w:val="clear" w:color="auto" w:fill="auto"/>
            <w:vAlign w:val="center"/>
          </w:tcPr>
          <w:p w14:paraId="7800E46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农业生产</w:t>
            </w:r>
          </w:p>
          <w:p w14:paraId="5010F32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发展资金</w:t>
            </w:r>
          </w:p>
        </w:tc>
        <w:tc>
          <w:tcPr>
            <w:tcW w:w="7500" w:type="dxa"/>
            <w:shd w:val="clear" w:color="auto" w:fill="auto"/>
            <w:vAlign w:val="center"/>
          </w:tcPr>
          <w:p w14:paraId="7E751C8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是否及时公开农机购置补贴相关的政策依据、申请指南、补贴结果、监督渠道</w:t>
            </w:r>
          </w:p>
        </w:tc>
        <w:tc>
          <w:tcPr>
            <w:tcW w:w="1501" w:type="dxa"/>
            <w:vMerge w:val="restart"/>
            <w:shd w:val="clear" w:color="auto" w:fill="auto"/>
            <w:vAlign w:val="center"/>
          </w:tcPr>
          <w:p w14:paraId="7C694B8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经济发展部</w:t>
            </w:r>
          </w:p>
        </w:tc>
      </w:tr>
      <w:tr w14:paraId="2647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jc w:val="center"/>
        </w:trPr>
        <w:tc>
          <w:tcPr>
            <w:tcW w:w="1307" w:type="dxa"/>
            <w:vMerge w:val="continue"/>
            <w:shd w:val="clear" w:color="auto" w:fill="auto"/>
            <w:vAlign w:val="center"/>
          </w:tcPr>
          <w:p w14:paraId="73CF43A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FE7EA2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C34457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597A066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4C47BAF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是否及时公开耕地地力补贴相关的政策依据、申请指南、补贴结果、监督渠道</w:t>
            </w:r>
          </w:p>
        </w:tc>
        <w:tc>
          <w:tcPr>
            <w:tcW w:w="1501" w:type="dxa"/>
            <w:vMerge w:val="continue"/>
            <w:shd w:val="clear" w:color="auto" w:fill="auto"/>
            <w:vAlign w:val="center"/>
          </w:tcPr>
          <w:p w14:paraId="0CB0568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596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07" w:type="dxa"/>
            <w:vMerge w:val="restart"/>
            <w:shd w:val="clear" w:color="auto" w:fill="auto"/>
            <w:vAlign w:val="center"/>
          </w:tcPr>
          <w:p w14:paraId="442B515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1C9B31E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37523C9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涉农补贴</w:t>
            </w:r>
          </w:p>
        </w:tc>
        <w:tc>
          <w:tcPr>
            <w:tcW w:w="1800" w:type="dxa"/>
            <w:shd w:val="clear" w:color="auto" w:fill="auto"/>
            <w:vAlign w:val="center"/>
          </w:tcPr>
          <w:p w14:paraId="7A3A760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农业生产</w:t>
            </w:r>
          </w:p>
          <w:p w14:paraId="6DA2E5C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发展资金</w:t>
            </w:r>
          </w:p>
        </w:tc>
        <w:tc>
          <w:tcPr>
            <w:tcW w:w="7500" w:type="dxa"/>
            <w:shd w:val="clear" w:color="auto" w:fill="auto"/>
            <w:vAlign w:val="center"/>
          </w:tcPr>
          <w:p w14:paraId="0FA152A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spacing w:val="-6"/>
                <w:kern w:val="0"/>
                <w:sz w:val="24"/>
                <w:szCs w:val="21"/>
                <w:lang w:val="en-US" w:eastAsia="zh-CN"/>
              </w:rPr>
              <w:t>是否及时公开支持新型农业经营主体补贴相关的政策依据、申请指南、</w:t>
            </w:r>
            <w:r>
              <w:rPr>
                <w:rFonts w:hint="eastAsia" w:ascii="仿宋_GB2312" w:hAnsi="等线" w:eastAsia="仿宋_GB2312" w:cs="宋体"/>
                <w:color w:val="000000"/>
                <w:kern w:val="0"/>
                <w:sz w:val="24"/>
                <w:szCs w:val="21"/>
              </w:rPr>
              <w:t>补贴结果、监督渠道</w:t>
            </w:r>
          </w:p>
        </w:tc>
        <w:tc>
          <w:tcPr>
            <w:tcW w:w="1501" w:type="dxa"/>
            <w:vMerge w:val="restart"/>
            <w:shd w:val="clear" w:color="auto" w:fill="auto"/>
            <w:vAlign w:val="center"/>
          </w:tcPr>
          <w:p w14:paraId="497B2F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lang w:val="en-US" w:eastAsia="zh-CN"/>
              </w:rPr>
              <w:t>经济发展部</w:t>
            </w:r>
          </w:p>
        </w:tc>
      </w:tr>
      <w:tr w14:paraId="22EB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07" w:type="dxa"/>
            <w:vMerge w:val="continue"/>
            <w:shd w:val="clear" w:color="auto" w:fill="auto"/>
            <w:vAlign w:val="center"/>
          </w:tcPr>
          <w:p w14:paraId="6999FAE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B222B1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0E3DF6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234E8F0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动物防疫等补助经费</w:t>
            </w:r>
          </w:p>
        </w:tc>
        <w:tc>
          <w:tcPr>
            <w:tcW w:w="7500" w:type="dxa"/>
            <w:shd w:val="clear" w:color="auto" w:fill="auto"/>
            <w:vAlign w:val="center"/>
          </w:tcPr>
          <w:p w14:paraId="07EFE2A0">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是否及时公开强制免疫和养殖环节无害化处理补助相关的政策依据、申请指南、补贴结果、监督渠道</w:t>
            </w:r>
          </w:p>
        </w:tc>
        <w:tc>
          <w:tcPr>
            <w:tcW w:w="1501" w:type="dxa"/>
            <w:vMerge w:val="continue"/>
            <w:shd w:val="clear" w:color="auto" w:fill="auto"/>
            <w:vAlign w:val="center"/>
          </w:tcPr>
          <w:p w14:paraId="06F0D1D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A33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atLeast"/>
          <w:jc w:val="center"/>
        </w:trPr>
        <w:tc>
          <w:tcPr>
            <w:tcW w:w="1307" w:type="dxa"/>
            <w:vMerge w:val="continue"/>
            <w:shd w:val="clear" w:color="auto" w:fill="auto"/>
            <w:vAlign w:val="center"/>
          </w:tcPr>
          <w:p w14:paraId="514A95E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07B940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p>
        </w:tc>
        <w:tc>
          <w:tcPr>
            <w:tcW w:w="1264" w:type="dxa"/>
            <w:shd w:val="clear" w:color="auto" w:fill="auto"/>
            <w:vAlign w:val="center"/>
          </w:tcPr>
          <w:p w14:paraId="0BE2480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标准目录编制情况</w:t>
            </w:r>
          </w:p>
        </w:tc>
        <w:tc>
          <w:tcPr>
            <w:tcW w:w="1800" w:type="dxa"/>
            <w:shd w:val="clear" w:color="auto" w:fill="auto"/>
            <w:vAlign w:val="center"/>
          </w:tcPr>
          <w:p w14:paraId="6BDFB4A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试点领域</w:t>
            </w:r>
          </w:p>
        </w:tc>
        <w:tc>
          <w:tcPr>
            <w:tcW w:w="7500" w:type="dxa"/>
            <w:shd w:val="clear" w:color="auto" w:fill="auto"/>
            <w:vAlign w:val="center"/>
          </w:tcPr>
          <w:p w14:paraId="3FB1E9D0">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是否编制并发布重大建设项目、公共资源交易、财政预决算、安全生产、救灾、税收管理、保障性住房、国有土地上房屋征收与补偿、城市综合执法、市政服务、生态环境、公共文化服务、</w:t>
            </w:r>
            <w:r>
              <w:rPr>
                <w:rFonts w:hint="eastAsia" w:ascii="仿宋_GB2312" w:hAnsi="等线" w:eastAsia="仿宋_GB2312" w:cs="宋体"/>
                <w:color w:val="000000"/>
                <w:spacing w:val="-6"/>
                <w:kern w:val="0"/>
                <w:sz w:val="24"/>
                <w:szCs w:val="21"/>
                <w:lang w:val="en-US" w:eastAsia="zh-CN"/>
              </w:rPr>
              <w:t>公共法律服务、扶贫（乡村振兴）、食品药品监管、就业、社会保险、</w:t>
            </w:r>
            <w:r>
              <w:rPr>
                <w:rFonts w:hint="eastAsia" w:ascii="仿宋_GB2312" w:hAnsi="等线" w:eastAsia="仿宋_GB2312" w:cs="宋体"/>
                <w:color w:val="000000"/>
                <w:kern w:val="0"/>
                <w:sz w:val="24"/>
                <w:szCs w:val="21"/>
              </w:rPr>
              <w:t>社会救助、养老服务、户籍管理、涉农补贴、义务教育、卫生健康等领</w:t>
            </w:r>
            <w:r>
              <w:rPr>
                <w:rFonts w:hint="eastAsia" w:ascii="仿宋_GB2312" w:hAnsi="等线" w:eastAsia="仿宋_GB2312" w:cs="宋体"/>
                <w:color w:val="000000"/>
                <w:spacing w:val="-6"/>
                <w:kern w:val="0"/>
                <w:sz w:val="24"/>
                <w:szCs w:val="21"/>
                <w:lang w:val="en-US" w:eastAsia="zh-CN"/>
              </w:rPr>
              <w:t>域基层政务公开标准目录（未涉及的领域需在公开页面说明相关情况）</w:t>
            </w:r>
          </w:p>
        </w:tc>
        <w:tc>
          <w:tcPr>
            <w:tcW w:w="1501" w:type="dxa"/>
            <w:shd w:val="clear" w:color="auto" w:fill="auto"/>
            <w:vAlign w:val="center"/>
          </w:tcPr>
          <w:p w14:paraId="29D00AB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宣传文化部、社会治理部、经济发展部、产业促进部、财政金融部、</w:t>
            </w:r>
            <w:r>
              <w:rPr>
                <w:rFonts w:hint="eastAsia" w:ascii="仿宋_GB2312" w:hAnsi="等线" w:eastAsia="仿宋_GB2312" w:cs="宋体"/>
                <w:color w:val="000000"/>
                <w:kern w:val="0"/>
                <w:sz w:val="24"/>
                <w:szCs w:val="21"/>
                <w:highlight w:val="none"/>
                <w:lang w:val="en-US" w:eastAsia="zh-CN"/>
              </w:rPr>
              <w:t>规划和自然资源部、建设管理部、</w:t>
            </w:r>
            <w:r>
              <w:rPr>
                <w:rFonts w:hint="eastAsia" w:ascii="仿宋_GB2312" w:hAnsi="等线" w:eastAsia="仿宋_GB2312" w:cs="宋体"/>
                <w:color w:val="000000"/>
                <w:spacing w:val="-6"/>
                <w:kern w:val="0"/>
                <w:sz w:val="24"/>
                <w:szCs w:val="21"/>
                <w:highlight w:val="none"/>
                <w:lang w:val="en-US" w:eastAsia="zh-CN"/>
              </w:rPr>
              <w:t>社会事业部、综合执法部、数字城市部、区公安分局、区生态环境分局、区税务局</w:t>
            </w:r>
          </w:p>
        </w:tc>
      </w:tr>
      <w:tr w14:paraId="7180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4" w:hRule="atLeast"/>
          <w:jc w:val="center"/>
        </w:trPr>
        <w:tc>
          <w:tcPr>
            <w:tcW w:w="1307" w:type="dxa"/>
            <w:vMerge w:val="restart"/>
            <w:shd w:val="clear" w:color="auto" w:fill="auto"/>
            <w:vAlign w:val="center"/>
          </w:tcPr>
          <w:p w14:paraId="2281DF9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034E9CF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重点领域信息</w:t>
            </w:r>
          </w:p>
        </w:tc>
        <w:tc>
          <w:tcPr>
            <w:tcW w:w="1264" w:type="dxa"/>
            <w:shd w:val="clear" w:color="auto" w:fill="auto"/>
            <w:vAlign w:val="center"/>
          </w:tcPr>
          <w:p w14:paraId="4818403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标准目录编制情况</w:t>
            </w:r>
          </w:p>
        </w:tc>
        <w:tc>
          <w:tcPr>
            <w:tcW w:w="1800" w:type="dxa"/>
            <w:shd w:val="clear" w:color="auto" w:fill="auto"/>
            <w:vAlign w:val="center"/>
          </w:tcPr>
          <w:p w14:paraId="39674C5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新增领域</w:t>
            </w:r>
          </w:p>
        </w:tc>
        <w:tc>
          <w:tcPr>
            <w:tcW w:w="7500" w:type="dxa"/>
            <w:shd w:val="clear" w:color="auto" w:fill="auto"/>
            <w:vAlign w:val="center"/>
          </w:tcPr>
          <w:p w14:paraId="48EFD7A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是否编制并发布交通运输、旅游、广播电视、统计、新闻出版版权、自然资源、水利等领域基层政务公开标准目录（未涉及的领域需在公开页面说明相关情况）</w:t>
            </w:r>
          </w:p>
        </w:tc>
        <w:tc>
          <w:tcPr>
            <w:tcW w:w="1501" w:type="dxa"/>
            <w:shd w:val="clear" w:color="auto" w:fill="auto"/>
            <w:vAlign w:val="center"/>
          </w:tcPr>
          <w:p w14:paraId="427E4C9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highlight w:val="none"/>
                <w:lang w:val="en-US" w:eastAsia="zh-CN"/>
              </w:rPr>
              <w:t>宣传文化部、经济发展部、规划和自然资源部、建设管理部</w:t>
            </w:r>
          </w:p>
        </w:tc>
      </w:tr>
      <w:tr w14:paraId="2CB1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307" w:type="dxa"/>
            <w:vMerge w:val="continue"/>
            <w:shd w:val="clear" w:color="auto" w:fill="auto"/>
            <w:vAlign w:val="center"/>
          </w:tcPr>
          <w:p w14:paraId="5C3AE5D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79B56D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1DC33E3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文化（激励指标）</w:t>
            </w:r>
          </w:p>
        </w:tc>
        <w:tc>
          <w:tcPr>
            <w:tcW w:w="1800" w:type="dxa"/>
            <w:vMerge w:val="restart"/>
            <w:shd w:val="clear" w:color="auto" w:fill="auto"/>
            <w:vAlign w:val="center"/>
          </w:tcPr>
          <w:p w14:paraId="72238F5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公共文化</w:t>
            </w:r>
          </w:p>
          <w:p w14:paraId="0AE26F5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服务领域</w:t>
            </w:r>
          </w:p>
        </w:tc>
        <w:tc>
          <w:tcPr>
            <w:tcW w:w="7500" w:type="dxa"/>
            <w:shd w:val="clear" w:color="auto" w:fill="auto"/>
            <w:vAlign w:val="center"/>
          </w:tcPr>
          <w:p w14:paraId="307657E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主要评估公共文化服务领域公共文化机构免费开放、群众文化活动、展览讲座等信息公开情况</w:t>
            </w:r>
          </w:p>
        </w:tc>
        <w:tc>
          <w:tcPr>
            <w:tcW w:w="1501" w:type="dxa"/>
            <w:vMerge w:val="restart"/>
            <w:shd w:val="clear" w:color="auto" w:fill="auto"/>
            <w:vAlign w:val="center"/>
          </w:tcPr>
          <w:p w14:paraId="07C99B6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宣传文化部</w:t>
            </w:r>
          </w:p>
        </w:tc>
      </w:tr>
      <w:tr w14:paraId="1687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07" w:type="dxa"/>
            <w:vMerge w:val="restart"/>
            <w:shd w:val="clear" w:color="auto" w:fill="auto"/>
            <w:vAlign w:val="center"/>
          </w:tcPr>
          <w:p w14:paraId="50A127B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依申请公开</w:t>
            </w:r>
          </w:p>
        </w:tc>
        <w:tc>
          <w:tcPr>
            <w:tcW w:w="1222" w:type="dxa"/>
            <w:vMerge w:val="restart"/>
            <w:shd w:val="clear" w:color="auto" w:fill="auto"/>
            <w:vAlign w:val="center"/>
          </w:tcPr>
          <w:p w14:paraId="31A3E5D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渠道</w:t>
            </w:r>
          </w:p>
          <w:p w14:paraId="501F47E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畅通性</w:t>
            </w:r>
          </w:p>
        </w:tc>
        <w:tc>
          <w:tcPr>
            <w:tcW w:w="1264" w:type="dxa"/>
            <w:vMerge w:val="restart"/>
            <w:shd w:val="clear" w:color="auto" w:fill="auto"/>
            <w:vAlign w:val="center"/>
          </w:tcPr>
          <w:p w14:paraId="27ED156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提交申请</w:t>
            </w:r>
          </w:p>
        </w:tc>
        <w:tc>
          <w:tcPr>
            <w:tcW w:w="1800" w:type="dxa"/>
            <w:vMerge w:val="restart"/>
            <w:shd w:val="clear" w:color="auto" w:fill="auto"/>
            <w:vAlign w:val="center"/>
          </w:tcPr>
          <w:p w14:paraId="2D5C607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互联网渠道</w:t>
            </w:r>
          </w:p>
        </w:tc>
        <w:tc>
          <w:tcPr>
            <w:tcW w:w="7500" w:type="dxa"/>
            <w:shd w:val="clear" w:color="auto" w:fill="auto"/>
            <w:vAlign w:val="center"/>
          </w:tcPr>
          <w:p w14:paraId="755DCDD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是否开通互联网申请渠道或提供电子邮箱申请方式，并在政府信息公开指南中说明</w:t>
            </w:r>
          </w:p>
        </w:tc>
        <w:tc>
          <w:tcPr>
            <w:tcW w:w="1501" w:type="dxa"/>
            <w:vMerge w:val="restart"/>
            <w:shd w:val="clear" w:color="auto" w:fill="auto"/>
            <w:vAlign w:val="center"/>
          </w:tcPr>
          <w:p w14:paraId="2A2FF18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办公室牵头，各职能部门、</w:t>
            </w:r>
            <w:r>
              <w:rPr>
                <w:rFonts w:hint="eastAsia" w:ascii="仿宋_GB2312" w:hAnsi="等线" w:eastAsia="仿宋_GB2312" w:cs="宋体"/>
                <w:color w:val="000000"/>
                <w:kern w:val="0"/>
                <w:sz w:val="24"/>
                <w:szCs w:val="21"/>
                <w:lang w:val="en-US" w:eastAsia="zh-CN"/>
              </w:rPr>
              <w:t>各街道办事处配合</w:t>
            </w:r>
          </w:p>
        </w:tc>
      </w:tr>
      <w:tr w14:paraId="21E9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2A52F6C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06FABD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F91431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44128E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FCAF34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互联网渠道是否畅通</w:t>
            </w:r>
          </w:p>
        </w:tc>
        <w:tc>
          <w:tcPr>
            <w:tcW w:w="1501" w:type="dxa"/>
            <w:vMerge w:val="continue"/>
            <w:shd w:val="clear" w:color="auto" w:fill="auto"/>
            <w:vAlign w:val="center"/>
          </w:tcPr>
          <w:p w14:paraId="1193C07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0FDC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4B99F72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E33709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1EADD9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0EAB66A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信函渠道</w:t>
            </w:r>
          </w:p>
        </w:tc>
        <w:tc>
          <w:tcPr>
            <w:tcW w:w="7500" w:type="dxa"/>
            <w:shd w:val="clear" w:color="auto" w:fill="auto"/>
            <w:vAlign w:val="center"/>
          </w:tcPr>
          <w:p w14:paraId="0DE59E50">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spacing w:val="-6"/>
                <w:kern w:val="0"/>
                <w:sz w:val="24"/>
                <w:szCs w:val="21"/>
                <w:lang w:val="en-US" w:eastAsia="zh-CN"/>
              </w:rPr>
              <w:t>是否开通信函申请渠道，并在政府信息公开指南中提供受理机构名称、</w:t>
            </w:r>
            <w:r>
              <w:rPr>
                <w:rFonts w:hint="eastAsia" w:ascii="仿宋_GB2312" w:hAnsi="等线" w:eastAsia="仿宋_GB2312" w:cs="宋体"/>
                <w:color w:val="000000"/>
                <w:kern w:val="0"/>
                <w:sz w:val="24"/>
                <w:szCs w:val="21"/>
              </w:rPr>
              <w:t>联系电话、通讯地址、邮编等信息</w:t>
            </w:r>
          </w:p>
        </w:tc>
        <w:tc>
          <w:tcPr>
            <w:tcW w:w="1501" w:type="dxa"/>
            <w:vMerge w:val="continue"/>
            <w:shd w:val="clear" w:color="auto" w:fill="auto"/>
            <w:vAlign w:val="center"/>
          </w:tcPr>
          <w:p w14:paraId="050A936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608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307" w:type="dxa"/>
            <w:vMerge w:val="continue"/>
            <w:shd w:val="clear" w:color="auto" w:fill="auto"/>
            <w:vAlign w:val="center"/>
          </w:tcPr>
          <w:p w14:paraId="7732728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A50AB9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85D570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C75E27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D10FA3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信函渠道是否畅通</w:t>
            </w:r>
          </w:p>
        </w:tc>
        <w:tc>
          <w:tcPr>
            <w:tcW w:w="1501" w:type="dxa"/>
            <w:vMerge w:val="continue"/>
            <w:shd w:val="clear" w:color="auto" w:fill="auto"/>
            <w:vAlign w:val="center"/>
          </w:tcPr>
          <w:p w14:paraId="2480CD3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67D7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307" w:type="dxa"/>
            <w:vMerge w:val="continue"/>
            <w:shd w:val="clear" w:color="auto" w:fill="auto"/>
            <w:vAlign w:val="center"/>
          </w:tcPr>
          <w:p w14:paraId="5FD0585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restart"/>
            <w:shd w:val="clear" w:color="auto" w:fill="auto"/>
            <w:vAlign w:val="center"/>
          </w:tcPr>
          <w:p w14:paraId="29DAC24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答复</w:t>
            </w:r>
          </w:p>
          <w:p w14:paraId="5EE82BA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规范性</w:t>
            </w:r>
          </w:p>
        </w:tc>
        <w:tc>
          <w:tcPr>
            <w:tcW w:w="1264" w:type="dxa"/>
            <w:vMerge w:val="restart"/>
            <w:shd w:val="clear" w:color="auto" w:fill="auto"/>
            <w:vAlign w:val="center"/>
          </w:tcPr>
          <w:p w14:paraId="4C84EF3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互联网/信函渠道</w:t>
            </w:r>
          </w:p>
        </w:tc>
        <w:tc>
          <w:tcPr>
            <w:tcW w:w="1800" w:type="dxa"/>
            <w:shd w:val="clear" w:color="auto" w:fill="auto"/>
            <w:vAlign w:val="center"/>
          </w:tcPr>
          <w:p w14:paraId="0CE8BFD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答复时限</w:t>
            </w:r>
          </w:p>
        </w:tc>
        <w:tc>
          <w:tcPr>
            <w:tcW w:w="7500" w:type="dxa"/>
            <w:shd w:val="clear" w:color="auto" w:fill="auto"/>
            <w:vAlign w:val="center"/>
          </w:tcPr>
          <w:p w14:paraId="1916548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是否在规定时限内予以答复</w:t>
            </w:r>
          </w:p>
        </w:tc>
        <w:tc>
          <w:tcPr>
            <w:tcW w:w="1501" w:type="dxa"/>
            <w:vMerge w:val="continue"/>
            <w:shd w:val="clear" w:color="auto" w:fill="auto"/>
            <w:vAlign w:val="center"/>
          </w:tcPr>
          <w:p w14:paraId="58CC78F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E1F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307" w:type="dxa"/>
            <w:vMerge w:val="continue"/>
            <w:shd w:val="clear" w:color="auto" w:fill="auto"/>
            <w:vAlign w:val="center"/>
          </w:tcPr>
          <w:p w14:paraId="7C897A8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2D163A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257401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23CE796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形式规范性</w:t>
            </w:r>
          </w:p>
        </w:tc>
        <w:tc>
          <w:tcPr>
            <w:tcW w:w="7500" w:type="dxa"/>
            <w:shd w:val="clear" w:color="auto" w:fill="auto"/>
            <w:vAlign w:val="center"/>
          </w:tcPr>
          <w:p w14:paraId="07FE04D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是否按照申请人要求的形式予以答复</w:t>
            </w:r>
          </w:p>
        </w:tc>
        <w:tc>
          <w:tcPr>
            <w:tcW w:w="1501" w:type="dxa"/>
            <w:vMerge w:val="continue"/>
            <w:shd w:val="clear" w:color="auto" w:fill="auto"/>
            <w:vAlign w:val="center"/>
          </w:tcPr>
          <w:p w14:paraId="144464F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10D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253D744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320721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93C43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5AF8F20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4367E96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是否出具书面政府信息公开告知书或答复书（正式文号并加盖单位公章）</w:t>
            </w:r>
          </w:p>
        </w:tc>
        <w:tc>
          <w:tcPr>
            <w:tcW w:w="1501" w:type="dxa"/>
            <w:vMerge w:val="continue"/>
            <w:shd w:val="clear" w:color="auto" w:fill="auto"/>
            <w:vAlign w:val="center"/>
          </w:tcPr>
          <w:p w14:paraId="709188E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2BD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07" w:type="dxa"/>
            <w:vMerge w:val="continue"/>
            <w:shd w:val="clear" w:color="auto" w:fill="auto"/>
            <w:vAlign w:val="center"/>
          </w:tcPr>
          <w:p w14:paraId="545A2C1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CABF2D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D530E5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38AD5C8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内容规范性</w:t>
            </w:r>
          </w:p>
        </w:tc>
        <w:tc>
          <w:tcPr>
            <w:tcW w:w="7500" w:type="dxa"/>
            <w:shd w:val="clear" w:color="auto" w:fill="auto"/>
            <w:vAlign w:val="center"/>
          </w:tcPr>
          <w:p w14:paraId="29156D5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答复内容是否有文字性错误</w:t>
            </w:r>
          </w:p>
        </w:tc>
        <w:tc>
          <w:tcPr>
            <w:tcW w:w="1501" w:type="dxa"/>
            <w:vMerge w:val="continue"/>
            <w:shd w:val="clear" w:color="auto" w:fill="auto"/>
            <w:vAlign w:val="center"/>
          </w:tcPr>
          <w:p w14:paraId="224781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223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07" w:type="dxa"/>
            <w:vMerge w:val="continue"/>
            <w:shd w:val="clear" w:color="auto" w:fill="auto"/>
            <w:vAlign w:val="center"/>
          </w:tcPr>
          <w:p w14:paraId="187AF9C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D38F3D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FBC352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204A483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98BB6F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是否说明法律依据、理由</w:t>
            </w:r>
          </w:p>
        </w:tc>
        <w:tc>
          <w:tcPr>
            <w:tcW w:w="1501" w:type="dxa"/>
            <w:vMerge w:val="continue"/>
            <w:shd w:val="clear" w:color="auto" w:fill="auto"/>
            <w:vAlign w:val="center"/>
          </w:tcPr>
          <w:p w14:paraId="6AA8D9B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9F0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07" w:type="dxa"/>
            <w:vMerge w:val="continue"/>
            <w:shd w:val="clear" w:color="auto" w:fill="auto"/>
            <w:vAlign w:val="center"/>
          </w:tcPr>
          <w:p w14:paraId="3890291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51460F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01C0D1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674D29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3246E58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是否告知救济渠道，并明确救济机关名称、地址、时限等信息</w:t>
            </w:r>
          </w:p>
        </w:tc>
        <w:tc>
          <w:tcPr>
            <w:tcW w:w="1501" w:type="dxa"/>
            <w:vMerge w:val="continue"/>
            <w:shd w:val="clear" w:color="auto" w:fill="auto"/>
            <w:vAlign w:val="center"/>
          </w:tcPr>
          <w:p w14:paraId="02C05AB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F4B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restart"/>
            <w:shd w:val="clear" w:color="auto" w:fill="auto"/>
            <w:vAlign w:val="center"/>
          </w:tcPr>
          <w:p w14:paraId="0B3C1D7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政策解读</w:t>
            </w:r>
          </w:p>
        </w:tc>
        <w:tc>
          <w:tcPr>
            <w:tcW w:w="2486" w:type="dxa"/>
            <w:gridSpan w:val="2"/>
            <w:vMerge w:val="restart"/>
            <w:shd w:val="clear" w:color="auto" w:fill="auto"/>
            <w:vAlign w:val="center"/>
          </w:tcPr>
          <w:p w14:paraId="501395D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解读发布平台</w:t>
            </w:r>
          </w:p>
        </w:tc>
        <w:tc>
          <w:tcPr>
            <w:tcW w:w="1800" w:type="dxa"/>
            <w:shd w:val="clear" w:color="auto" w:fill="auto"/>
            <w:vAlign w:val="center"/>
          </w:tcPr>
          <w:p w14:paraId="5972F41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栏目建设</w:t>
            </w:r>
          </w:p>
        </w:tc>
        <w:tc>
          <w:tcPr>
            <w:tcW w:w="7500" w:type="dxa"/>
            <w:shd w:val="clear" w:color="auto" w:fill="auto"/>
            <w:vAlign w:val="center"/>
          </w:tcPr>
          <w:p w14:paraId="62865DE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是否在政府网站设置政策解读专门栏目并及时更新</w:t>
            </w:r>
          </w:p>
        </w:tc>
        <w:tc>
          <w:tcPr>
            <w:tcW w:w="1501" w:type="dxa"/>
            <w:shd w:val="clear" w:color="auto" w:fill="auto"/>
            <w:vAlign w:val="center"/>
          </w:tcPr>
          <w:p w14:paraId="479ECD3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w:t>
            </w:r>
          </w:p>
        </w:tc>
      </w:tr>
      <w:tr w14:paraId="5E91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3055024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2413DAA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5D836FD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解读关联</w:t>
            </w:r>
          </w:p>
        </w:tc>
        <w:tc>
          <w:tcPr>
            <w:tcW w:w="7500" w:type="dxa"/>
            <w:shd w:val="clear" w:color="auto" w:fill="auto"/>
            <w:vAlign w:val="center"/>
          </w:tcPr>
          <w:p w14:paraId="4313141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是否在政策文件页面提供解读材料页面入口</w:t>
            </w:r>
          </w:p>
        </w:tc>
        <w:tc>
          <w:tcPr>
            <w:tcW w:w="1501" w:type="dxa"/>
            <w:vMerge w:val="restart"/>
            <w:shd w:val="clear" w:color="auto" w:fill="auto"/>
            <w:vAlign w:val="center"/>
          </w:tcPr>
          <w:p w14:paraId="3FE01FB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区级文件：</w:t>
            </w:r>
            <w:r>
              <w:rPr>
                <w:rFonts w:hint="eastAsia" w:ascii="仿宋_GB2312" w:hAnsi="等线" w:eastAsia="仿宋_GB2312" w:cs="宋体"/>
                <w:color w:val="000000"/>
                <w:spacing w:val="-6"/>
                <w:kern w:val="0"/>
                <w:sz w:val="24"/>
                <w:szCs w:val="21"/>
                <w:lang w:val="en-US" w:eastAsia="zh-CN"/>
              </w:rPr>
              <w:t>办公室牵头，各职能部门、</w:t>
            </w:r>
            <w:r>
              <w:rPr>
                <w:rFonts w:hint="eastAsia" w:ascii="仿宋_GB2312" w:hAnsi="等线" w:eastAsia="仿宋_GB2312" w:cs="宋体"/>
                <w:color w:val="000000"/>
                <w:kern w:val="0"/>
                <w:sz w:val="24"/>
                <w:szCs w:val="21"/>
                <w:lang w:val="en-US" w:eastAsia="zh-CN"/>
              </w:rPr>
              <w:t>驻区单位配合；部门文件：各职能部门负责</w:t>
            </w:r>
          </w:p>
        </w:tc>
      </w:tr>
      <w:tr w14:paraId="1BDA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214864B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3F4E17B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C84FF8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BA08EE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是否在解读材料页面关联政策文件有关内容</w:t>
            </w:r>
          </w:p>
        </w:tc>
        <w:tc>
          <w:tcPr>
            <w:tcW w:w="1501" w:type="dxa"/>
            <w:vMerge w:val="continue"/>
            <w:shd w:val="clear" w:color="auto" w:fill="auto"/>
            <w:vAlign w:val="center"/>
          </w:tcPr>
          <w:p w14:paraId="2C66A84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F61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307" w:type="dxa"/>
            <w:vMerge w:val="continue"/>
            <w:shd w:val="clear" w:color="auto" w:fill="auto"/>
            <w:vAlign w:val="center"/>
          </w:tcPr>
          <w:p w14:paraId="114D6AD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restart"/>
            <w:shd w:val="clear" w:color="auto" w:fill="auto"/>
            <w:vAlign w:val="center"/>
          </w:tcPr>
          <w:p w14:paraId="26EBE4E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解读质量</w:t>
            </w:r>
          </w:p>
        </w:tc>
        <w:tc>
          <w:tcPr>
            <w:tcW w:w="1800" w:type="dxa"/>
            <w:shd w:val="clear" w:color="auto" w:fill="auto"/>
            <w:vAlign w:val="center"/>
          </w:tcPr>
          <w:p w14:paraId="656E17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重要政策解读</w:t>
            </w:r>
          </w:p>
        </w:tc>
        <w:tc>
          <w:tcPr>
            <w:tcW w:w="7500" w:type="dxa"/>
            <w:shd w:val="clear" w:color="auto" w:fill="auto"/>
            <w:vAlign w:val="center"/>
          </w:tcPr>
          <w:p w14:paraId="3214B8E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是否围绕激发市场活力、减税降费、扩大有效投资、疫情防控和复工复产、稳就业保就业、优化营商环境、稳住宏观经济大盘等方面，开展本地区政策文件、落实办法的解读</w:t>
            </w:r>
          </w:p>
        </w:tc>
        <w:tc>
          <w:tcPr>
            <w:tcW w:w="1501" w:type="dxa"/>
            <w:vMerge w:val="restart"/>
            <w:shd w:val="clear" w:color="auto" w:fill="auto"/>
            <w:vAlign w:val="center"/>
          </w:tcPr>
          <w:p w14:paraId="0B443F1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区级文件：</w:t>
            </w:r>
            <w:r>
              <w:rPr>
                <w:rFonts w:hint="eastAsia" w:ascii="仿宋_GB2312" w:hAnsi="等线" w:eastAsia="仿宋_GB2312" w:cs="宋体"/>
                <w:color w:val="000000"/>
                <w:spacing w:val="-6"/>
                <w:kern w:val="0"/>
                <w:sz w:val="24"/>
                <w:szCs w:val="21"/>
                <w:lang w:val="en-US" w:eastAsia="zh-CN"/>
              </w:rPr>
              <w:t>办公室牵头，各职能部门、</w:t>
            </w:r>
            <w:r>
              <w:rPr>
                <w:rFonts w:hint="eastAsia" w:ascii="仿宋_GB2312" w:hAnsi="等线" w:eastAsia="仿宋_GB2312" w:cs="宋体"/>
                <w:color w:val="000000"/>
                <w:kern w:val="0"/>
                <w:sz w:val="24"/>
                <w:szCs w:val="21"/>
                <w:lang w:val="en-US" w:eastAsia="zh-CN"/>
              </w:rPr>
              <w:t>驻区单位配合；部门文件：各职能部门负责</w:t>
            </w:r>
          </w:p>
        </w:tc>
      </w:tr>
      <w:tr w14:paraId="55D6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26E7B60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5B8CE47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4100988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解读时效</w:t>
            </w:r>
          </w:p>
        </w:tc>
        <w:tc>
          <w:tcPr>
            <w:tcW w:w="7500" w:type="dxa"/>
            <w:shd w:val="clear" w:color="auto" w:fill="auto"/>
            <w:vAlign w:val="center"/>
          </w:tcPr>
          <w:p w14:paraId="6A059EE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是否在政策文件公开后3个工作日内发布相关解读材料</w:t>
            </w:r>
          </w:p>
        </w:tc>
        <w:tc>
          <w:tcPr>
            <w:tcW w:w="1501" w:type="dxa"/>
            <w:vMerge w:val="continue"/>
            <w:shd w:val="clear" w:color="auto" w:fill="auto"/>
            <w:vAlign w:val="center"/>
          </w:tcPr>
          <w:p w14:paraId="6ABA0D8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339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7D5C2EE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49FE02C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7E50A85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实质性解读</w:t>
            </w:r>
          </w:p>
        </w:tc>
        <w:tc>
          <w:tcPr>
            <w:tcW w:w="7500" w:type="dxa"/>
            <w:shd w:val="clear" w:color="auto" w:fill="auto"/>
            <w:vAlign w:val="center"/>
          </w:tcPr>
          <w:p w14:paraId="7873B3C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政策背景、决策依据、出台目的、重要举措等解读内容要素是否全面</w:t>
            </w:r>
          </w:p>
        </w:tc>
        <w:tc>
          <w:tcPr>
            <w:tcW w:w="1501" w:type="dxa"/>
            <w:vMerge w:val="continue"/>
            <w:shd w:val="clear" w:color="auto" w:fill="auto"/>
            <w:vAlign w:val="center"/>
          </w:tcPr>
          <w:p w14:paraId="71D0748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AD3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4" w:hRule="atLeast"/>
          <w:jc w:val="center"/>
        </w:trPr>
        <w:tc>
          <w:tcPr>
            <w:tcW w:w="1307" w:type="dxa"/>
            <w:vMerge w:val="continue"/>
            <w:shd w:val="clear" w:color="auto" w:fill="auto"/>
            <w:vAlign w:val="center"/>
          </w:tcPr>
          <w:p w14:paraId="5E60436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52DF2BB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5FDE187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F6DAD5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是否能够根据政策文件的具体内容特点，有针对性、有重点地开展解读</w:t>
            </w:r>
          </w:p>
        </w:tc>
        <w:tc>
          <w:tcPr>
            <w:tcW w:w="1501" w:type="dxa"/>
            <w:vMerge w:val="continue"/>
            <w:shd w:val="clear" w:color="auto" w:fill="auto"/>
            <w:vAlign w:val="center"/>
          </w:tcPr>
          <w:p w14:paraId="1ED7BA7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6F7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307" w:type="dxa"/>
            <w:vMerge w:val="continue"/>
            <w:shd w:val="clear" w:color="auto" w:fill="auto"/>
            <w:vAlign w:val="center"/>
          </w:tcPr>
          <w:p w14:paraId="02B0565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shd w:val="clear" w:color="auto" w:fill="auto"/>
            <w:vAlign w:val="center"/>
          </w:tcPr>
          <w:p w14:paraId="5EE2EDD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解读形式</w:t>
            </w:r>
          </w:p>
        </w:tc>
        <w:tc>
          <w:tcPr>
            <w:tcW w:w="1800" w:type="dxa"/>
            <w:shd w:val="clear" w:color="auto" w:fill="auto"/>
            <w:vAlign w:val="center"/>
          </w:tcPr>
          <w:p w14:paraId="7B5E6D3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多样化解读</w:t>
            </w:r>
          </w:p>
        </w:tc>
        <w:tc>
          <w:tcPr>
            <w:tcW w:w="7500" w:type="dxa"/>
            <w:shd w:val="clear" w:color="auto" w:fill="auto"/>
            <w:vAlign w:val="center"/>
          </w:tcPr>
          <w:p w14:paraId="7A76872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是否能够根据政策文件的重要程度、影响范围和受众特点，综合、合理运用图片图表、音频视频、H5动画、卡通动漫等形式开展解读</w:t>
            </w:r>
          </w:p>
        </w:tc>
        <w:tc>
          <w:tcPr>
            <w:tcW w:w="1501" w:type="dxa"/>
            <w:vMerge w:val="restart"/>
            <w:shd w:val="clear" w:color="auto" w:fill="auto"/>
            <w:vAlign w:val="center"/>
          </w:tcPr>
          <w:p w14:paraId="2285E2B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区级文件：</w:t>
            </w:r>
            <w:r>
              <w:rPr>
                <w:rFonts w:hint="eastAsia" w:ascii="仿宋_GB2312" w:hAnsi="等线" w:eastAsia="仿宋_GB2312" w:cs="宋体"/>
                <w:color w:val="000000"/>
                <w:spacing w:val="-6"/>
                <w:kern w:val="0"/>
                <w:sz w:val="24"/>
                <w:szCs w:val="21"/>
                <w:lang w:val="en-US" w:eastAsia="zh-CN"/>
              </w:rPr>
              <w:t>办公室牵头，各职能部门、</w:t>
            </w:r>
            <w:r>
              <w:rPr>
                <w:rFonts w:hint="eastAsia" w:ascii="仿宋_GB2312" w:hAnsi="等线" w:eastAsia="仿宋_GB2312" w:cs="宋体"/>
                <w:color w:val="000000"/>
                <w:kern w:val="0"/>
                <w:sz w:val="24"/>
                <w:szCs w:val="21"/>
                <w:lang w:val="en-US" w:eastAsia="zh-CN"/>
              </w:rPr>
              <w:t>驻区单位配合；部门文件：各职能部门负责</w:t>
            </w:r>
          </w:p>
        </w:tc>
      </w:tr>
      <w:tr w14:paraId="0FF5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restart"/>
            <w:shd w:val="clear" w:color="auto" w:fill="auto"/>
            <w:vAlign w:val="center"/>
          </w:tcPr>
          <w:p w14:paraId="7E8A445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政策解读</w:t>
            </w:r>
          </w:p>
        </w:tc>
        <w:tc>
          <w:tcPr>
            <w:tcW w:w="2486" w:type="dxa"/>
            <w:gridSpan w:val="2"/>
            <w:vMerge w:val="restart"/>
            <w:shd w:val="clear" w:color="auto" w:fill="auto"/>
            <w:vAlign w:val="center"/>
          </w:tcPr>
          <w:p w14:paraId="1A7109F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解读形式</w:t>
            </w:r>
          </w:p>
        </w:tc>
        <w:tc>
          <w:tcPr>
            <w:tcW w:w="1800" w:type="dxa"/>
            <w:shd w:val="clear" w:color="auto" w:fill="auto"/>
            <w:vAlign w:val="center"/>
          </w:tcPr>
          <w:p w14:paraId="15ED15F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多角度解读</w:t>
            </w:r>
          </w:p>
        </w:tc>
        <w:tc>
          <w:tcPr>
            <w:tcW w:w="7500" w:type="dxa"/>
            <w:shd w:val="clear" w:color="auto" w:fill="auto"/>
            <w:vAlign w:val="center"/>
          </w:tcPr>
          <w:p w14:paraId="655350A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是否能够由政府主管部门和领导、专家、媒体等从不同角度对同一重要政策进行多次解读</w:t>
            </w:r>
          </w:p>
        </w:tc>
        <w:tc>
          <w:tcPr>
            <w:tcW w:w="1501" w:type="dxa"/>
            <w:vMerge w:val="continue"/>
            <w:shd w:val="clear" w:color="auto" w:fill="auto"/>
            <w:vAlign w:val="center"/>
          </w:tcPr>
          <w:p w14:paraId="4E9B7BF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CF0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07" w:type="dxa"/>
            <w:vMerge w:val="continue"/>
            <w:shd w:val="clear" w:color="auto" w:fill="auto"/>
            <w:vAlign w:val="center"/>
          </w:tcPr>
          <w:p w14:paraId="6A2275E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065D39C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18F202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政策咨询问答</w:t>
            </w:r>
          </w:p>
        </w:tc>
        <w:tc>
          <w:tcPr>
            <w:tcW w:w="7500" w:type="dxa"/>
            <w:shd w:val="clear" w:color="auto" w:fill="auto"/>
            <w:vAlign w:val="center"/>
          </w:tcPr>
          <w:p w14:paraId="1D1B536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是否在政府网站建立智能化政策问答平台</w:t>
            </w:r>
          </w:p>
        </w:tc>
        <w:tc>
          <w:tcPr>
            <w:tcW w:w="1501" w:type="dxa"/>
            <w:shd w:val="clear" w:color="auto" w:fill="auto"/>
            <w:vAlign w:val="center"/>
          </w:tcPr>
          <w:p w14:paraId="612E5BC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办公室、数字城市部</w:t>
            </w:r>
          </w:p>
        </w:tc>
      </w:tr>
      <w:tr w14:paraId="3610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07" w:type="dxa"/>
            <w:vMerge w:val="continue"/>
            <w:shd w:val="clear" w:color="auto" w:fill="auto"/>
            <w:vAlign w:val="center"/>
          </w:tcPr>
          <w:p w14:paraId="11C6C3C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20390D3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2A65F01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385C84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是否能够围绕高频政策咨询事项，依托政策问答库，以视频、图解、文字等形式予以解答</w:t>
            </w:r>
          </w:p>
        </w:tc>
        <w:tc>
          <w:tcPr>
            <w:tcW w:w="1501" w:type="dxa"/>
            <w:vMerge w:val="restart"/>
            <w:shd w:val="clear" w:color="auto" w:fill="auto"/>
            <w:vAlign w:val="center"/>
          </w:tcPr>
          <w:p w14:paraId="2369C67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办公室牵头，</w:t>
            </w:r>
            <w:r>
              <w:rPr>
                <w:rFonts w:hint="eastAsia" w:ascii="仿宋_GB2312" w:hAnsi="等线" w:eastAsia="仿宋_GB2312" w:cs="宋体"/>
                <w:color w:val="000000"/>
                <w:kern w:val="0"/>
                <w:sz w:val="24"/>
                <w:szCs w:val="21"/>
                <w:lang w:val="en-US" w:eastAsia="zh-CN"/>
              </w:rPr>
              <w:t>各职能部门配合</w:t>
            </w:r>
          </w:p>
        </w:tc>
      </w:tr>
      <w:tr w14:paraId="4449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07" w:type="dxa"/>
            <w:vMerge w:val="continue"/>
            <w:shd w:val="clear" w:color="auto" w:fill="auto"/>
            <w:vAlign w:val="center"/>
          </w:tcPr>
          <w:p w14:paraId="0F7D823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5153D2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D521C1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2FDBEE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是否在政策解读专栏、政策文件或解读材料公开页面明确电话解答、现场解答等政策咨询渠道信息</w:t>
            </w:r>
          </w:p>
        </w:tc>
        <w:tc>
          <w:tcPr>
            <w:tcW w:w="1501" w:type="dxa"/>
            <w:vMerge w:val="continue"/>
            <w:shd w:val="clear" w:color="auto" w:fill="auto"/>
            <w:vAlign w:val="center"/>
          </w:tcPr>
          <w:p w14:paraId="79E45EB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50F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307" w:type="dxa"/>
            <w:vMerge w:val="restart"/>
            <w:shd w:val="clear" w:color="auto" w:fill="auto"/>
            <w:vAlign w:val="center"/>
          </w:tcPr>
          <w:p w14:paraId="1293DF7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公众参与</w:t>
            </w:r>
          </w:p>
        </w:tc>
        <w:tc>
          <w:tcPr>
            <w:tcW w:w="1222" w:type="dxa"/>
            <w:vMerge w:val="restart"/>
            <w:shd w:val="clear" w:color="auto" w:fill="auto"/>
            <w:vAlign w:val="center"/>
          </w:tcPr>
          <w:p w14:paraId="2F813A5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重大决策</w:t>
            </w:r>
          </w:p>
        </w:tc>
        <w:tc>
          <w:tcPr>
            <w:tcW w:w="1264" w:type="dxa"/>
            <w:vMerge w:val="restart"/>
            <w:shd w:val="clear" w:color="auto" w:fill="auto"/>
            <w:vAlign w:val="center"/>
          </w:tcPr>
          <w:p w14:paraId="3282AC0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重大行政决策</w:t>
            </w:r>
          </w:p>
        </w:tc>
        <w:tc>
          <w:tcPr>
            <w:tcW w:w="1800" w:type="dxa"/>
            <w:vMerge w:val="restart"/>
            <w:shd w:val="clear" w:color="auto" w:fill="auto"/>
            <w:vAlign w:val="center"/>
          </w:tcPr>
          <w:p w14:paraId="321C4BE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目录编制发布</w:t>
            </w:r>
          </w:p>
        </w:tc>
        <w:tc>
          <w:tcPr>
            <w:tcW w:w="7500" w:type="dxa"/>
            <w:shd w:val="clear" w:color="auto" w:fill="auto"/>
            <w:vAlign w:val="center"/>
          </w:tcPr>
          <w:p w14:paraId="4C8AE89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是否结合职责权限和本地实际，确定并发布本级决策事项目录，并根据实际情况调整</w:t>
            </w:r>
          </w:p>
        </w:tc>
        <w:tc>
          <w:tcPr>
            <w:tcW w:w="1501" w:type="dxa"/>
            <w:vMerge w:val="restart"/>
            <w:shd w:val="clear" w:color="auto" w:fill="auto"/>
            <w:vAlign w:val="center"/>
          </w:tcPr>
          <w:p w14:paraId="2332F18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社会治理部牵头，经济发展部、综合执法部配合</w:t>
            </w:r>
          </w:p>
        </w:tc>
      </w:tr>
      <w:tr w14:paraId="6701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307" w:type="dxa"/>
            <w:vMerge w:val="continue"/>
            <w:shd w:val="clear" w:color="auto" w:fill="auto"/>
            <w:vAlign w:val="center"/>
          </w:tcPr>
          <w:p w14:paraId="53001DE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B37D1F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239618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5ED636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F5F6BA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是否明确决策事项名称、决策承办单位和完成时限等内容，并视情增加决策程序、决策依据等</w:t>
            </w:r>
          </w:p>
        </w:tc>
        <w:tc>
          <w:tcPr>
            <w:tcW w:w="1501" w:type="dxa"/>
            <w:vMerge w:val="continue"/>
            <w:shd w:val="clear" w:color="auto" w:fill="auto"/>
            <w:vAlign w:val="center"/>
          </w:tcPr>
          <w:p w14:paraId="71CA927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61B2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restart"/>
            <w:shd w:val="clear" w:color="auto" w:fill="auto"/>
            <w:vAlign w:val="center"/>
          </w:tcPr>
          <w:p w14:paraId="7DCF563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公众参与</w:t>
            </w:r>
          </w:p>
        </w:tc>
        <w:tc>
          <w:tcPr>
            <w:tcW w:w="1222" w:type="dxa"/>
            <w:vMerge w:val="restart"/>
            <w:shd w:val="clear" w:color="auto" w:fill="auto"/>
            <w:vAlign w:val="center"/>
          </w:tcPr>
          <w:p w14:paraId="6BA17A2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重大决策</w:t>
            </w:r>
          </w:p>
        </w:tc>
        <w:tc>
          <w:tcPr>
            <w:tcW w:w="1264" w:type="dxa"/>
            <w:vMerge w:val="restart"/>
            <w:shd w:val="clear" w:color="auto" w:fill="auto"/>
            <w:vAlign w:val="center"/>
          </w:tcPr>
          <w:p w14:paraId="7A7644F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重大行政决策</w:t>
            </w:r>
          </w:p>
        </w:tc>
        <w:tc>
          <w:tcPr>
            <w:tcW w:w="1800" w:type="dxa"/>
            <w:vMerge w:val="restart"/>
            <w:shd w:val="clear" w:color="auto" w:fill="auto"/>
            <w:vAlign w:val="center"/>
          </w:tcPr>
          <w:p w14:paraId="1228BB7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归集展示</w:t>
            </w:r>
          </w:p>
        </w:tc>
        <w:tc>
          <w:tcPr>
            <w:tcW w:w="7500" w:type="dxa"/>
            <w:shd w:val="clear" w:color="auto" w:fill="auto"/>
            <w:vAlign w:val="center"/>
          </w:tcPr>
          <w:p w14:paraId="1F62D25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是否以事项目录超链接方式归集展示决策草案全文、草案解读说明、公众意见建议收集和采纳情况、决策会议审定情况、决策执行情况等信息</w:t>
            </w:r>
          </w:p>
        </w:tc>
        <w:tc>
          <w:tcPr>
            <w:tcW w:w="1501" w:type="dxa"/>
            <w:vMerge w:val="restart"/>
            <w:shd w:val="clear" w:color="auto" w:fill="auto"/>
            <w:vAlign w:val="center"/>
          </w:tcPr>
          <w:p w14:paraId="7E4A747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经济发展部、综合执法部</w:t>
            </w:r>
          </w:p>
        </w:tc>
      </w:tr>
      <w:tr w14:paraId="6F46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4" w:hRule="atLeast"/>
          <w:jc w:val="center"/>
        </w:trPr>
        <w:tc>
          <w:tcPr>
            <w:tcW w:w="1307" w:type="dxa"/>
            <w:vMerge w:val="continue"/>
            <w:shd w:val="clear" w:color="auto" w:fill="auto"/>
            <w:vAlign w:val="center"/>
          </w:tcPr>
          <w:p w14:paraId="409FCE1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93A1E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09E6A3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AB620B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509582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是否视情公开决策事项的重大决策风险评估、专家论证、后评估等信息</w:t>
            </w:r>
          </w:p>
        </w:tc>
        <w:tc>
          <w:tcPr>
            <w:tcW w:w="1501" w:type="dxa"/>
            <w:vMerge w:val="continue"/>
            <w:shd w:val="clear" w:color="auto" w:fill="auto"/>
            <w:vAlign w:val="center"/>
          </w:tcPr>
          <w:p w14:paraId="13FE0C6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B96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7" w:type="dxa"/>
            <w:vMerge w:val="continue"/>
            <w:shd w:val="clear" w:color="auto" w:fill="auto"/>
            <w:vAlign w:val="center"/>
          </w:tcPr>
          <w:p w14:paraId="13B960E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25DCDE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4DBBE3B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重大决策预公开</w:t>
            </w:r>
          </w:p>
        </w:tc>
        <w:tc>
          <w:tcPr>
            <w:tcW w:w="1800" w:type="dxa"/>
            <w:vMerge w:val="restart"/>
            <w:shd w:val="clear" w:color="auto" w:fill="auto"/>
            <w:vAlign w:val="center"/>
          </w:tcPr>
          <w:p w14:paraId="75D9312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草案发布</w:t>
            </w:r>
          </w:p>
        </w:tc>
        <w:tc>
          <w:tcPr>
            <w:tcW w:w="7500" w:type="dxa"/>
            <w:shd w:val="clear" w:color="auto" w:fill="auto"/>
            <w:vAlign w:val="center"/>
          </w:tcPr>
          <w:p w14:paraId="045DA89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是否建立意见征集、调查征集等决策预公开类栏目</w:t>
            </w:r>
          </w:p>
        </w:tc>
        <w:tc>
          <w:tcPr>
            <w:tcW w:w="1501" w:type="dxa"/>
            <w:shd w:val="clear" w:color="auto" w:fill="auto"/>
            <w:vAlign w:val="center"/>
          </w:tcPr>
          <w:p w14:paraId="1F9CE5C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办公室、数字城市部</w:t>
            </w:r>
          </w:p>
        </w:tc>
      </w:tr>
      <w:tr w14:paraId="4170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jc w:val="center"/>
        </w:trPr>
        <w:tc>
          <w:tcPr>
            <w:tcW w:w="1307" w:type="dxa"/>
            <w:vMerge w:val="continue"/>
            <w:shd w:val="clear" w:color="auto" w:fill="auto"/>
            <w:vAlign w:val="center"/>
          </w:tcPr>
          <w:p w14:paraId="00D6B22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737814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B7D1C6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01EE11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C13021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是否发布决策草案全文、决策依据、解读说明等</w:t>
            </w:r>
          </w:p>
        </w:tc>
        <w:tc>
          <w:tcPr>
            <w:tcW w:w="1501" w:type="dxa"/>
            <w:vMerge w:val="restart"/>
            <w:shd w:val="clear" w:color="auto" w:fill="auto"/>
            <w:vAlign w:val="center"/>
          </w:tcPr>
          <w:p w14:paraId="35B830D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涉及相关职能部门</w:t>
            </w:r>
          </w:p>
        </w:tc>
      </w:tr>
      <w:tr w14:paraId="467B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2FD890A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FB864F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C244D6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0DC35B9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征集时限</w:t>
            </w:r>
          </w:p>
        </w:tc>
        <w:tc>
          <w:tcPr>
            <w:tcW w:w="7500" w:type="dxa"/>
            <w:shd w:val="clear" w:color="auto" w:fill="auto"/>
            <w:vAlign w:val="center"/>
          </w:tcPr>
          <w:p w14:paraId="6B69BAF0">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重大行政决策草案公开征求意见的期限是否不少于30日（因情况紧急等原因需要缩短期限的，公开征求意见时应当予以说明）</w:t>
            </w:r>
          </w:p>
        </w:tc>
        <w:tc>
          <w:tcPr>
            <w:tcW w:w="1501" w:type="dxa"/>
            <w:vMerge w:val="continue"/>
            <w:shd w:val="clear" w:color="auto" w:fill="auto"/>
            <w:vAlign w:val="center"/>
          </w:tcPr>
          <w:p w14:paraId="643A590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836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08DF47F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CA34EF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A02075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69877AA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征集渠道</w:t>
            </w:r>
          </w:p>
        </w:tc>
        <w:tc>
          <w:tcPr>
            <w:tcW w:w="7500" w:type="dxa"/>
            <w:shd w:val="clear" w:color="auto" w:fill="auto"/>
            <w:vAlign w:val="center"/>
          </w:tcPr>
          <w:p w14:paraId="5D771BC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是否随决策草案公开征求意见的电子邮箱、互联网平台、联系电话、邮寄地址等意见征集渠道</w:t>
            </w:r>
          </w:p>
        </w:tc>
        <w:tc>
          <w:tcPr>
            <w:tcW w:w="1501" w:type="dxa"/>
            <w:vMerge w:val="continue"/>
            <w:shd w:val="clear" w:color="auto" w:fill="auto"/>
            <w:vAlign w:val="center"/>
          </w:tcPr>
          <w:p w14:paraId="14AFA1C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87E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5DA56E7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4D7EDA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F22105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0E0F5A9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结果反馈</w:t>
            </w:r>
          </w:p>
        </w:tc>
        <w:tc>
          <w:tcPr>
            <w:tcW w:w="7500" w:type="dxa"/>
            <w:shd w:val="clear" w:color="auto" w:fill="auto"/>
            <w:vAlign w:val="center"/>
          </w:tcPr>
          <w:p w14:paraId="6250986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是否及时反馈意见征集结果，并对主要采纳意见和不采纳意见理由进行说明</w:t>
            </w:r>
          </w:p>
        </w:tc>
        <w:tc>
          <w:tcPr>
            <w:tcW w:w="1501" w:type="dxa"/>
            <w:vMerge w:val="continue"/>
            <w:shd w:val="clear" w:color="auto" w:fill="auto"/>
            <w:vAlign w:val="center"/>
          </w:tcPr>
          <w:p w14:paraId="10F41E1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1CC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07" w:type="dxa"/>
            <w:vMerge w:val="continue"/>
            <w:shd w:val="clear" w:color="auto" w:fill="auto"/>
            <w:vAlign w:val="center"/>
          </w:tcPr>
          <w:p w14:paraId="7DEE95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restart"/>
            <w:shd w:val="clear" w:color="auto" w:fill="auto"/>
            <w:vAlign w:val="center"/>
          </w:tcPr>
          <w:p w14:paraId="4291D8A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重大会议</w:t>
            </w:r>
          </w:p>
        </w:tc>
        <w:tc>
          <w:tcPr>
            <w:tcW w:w="1264" w:type="dxa"/>
            <w:vMerge w:val="restart"/>
            <w:shd w:val="clear" w:color="auto" w:fill="auto"/>
            <w:vAlign w:val="center"/>
          </w:tcPr>
          <w:p w14:paraId="7DA3D18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lang w:val="en-US" w:eastAsia="zh-CN"/>
              </w:rPr>
              <w:t>管委会主任办公</w:t>
            </w:r>
            <w:r>
              <w:rPr>
                <w:rFonts w:hint="eastAsia" w:ascii="仿宋_GB2312" w:hAnsi="等线" w:eastAsia="仿宋_GB2312" w:cs="宋体"/>
                <w:color w:val="000000"/>
                <w:kern w:val="0"/>
                <w:sz w:val="24"/>
                <w:szCs w:val="21"/>
              </w:rPr>
              <w:t>会议</w:t>
            </w:r>
          </w:p>
        </w:tc>
        <w:tc>
          <w:tcPr>
            <w:tcW w:w="1800" w:type="dxa"/>
            <w:vMerge w:val="restart"/>
            <w:shd w:val="clear" w:color="auto" w:fill="auto"/>
            <w:vAlign w:val="center"/>
          </w:tcPr>
          <w:p w14:paraId="075645D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会议内容</w:t>
            </w:r>
          </w:p>
        </w:tc>
        <w:tc>
          <w:tcPr>
            <w:tcW w:w="7500" w:type="dxa"/>
            <w:shd w:val="clear" w:color="auto" w:fill="auto"/>
            <w:vAlign w:val="center"/>
          </w:tcPr>
          <w:p w14:paraId="7FC2AB1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是否常态化公开</w:t>
            </w:r>
            <w:r>
              <w:rPr>
                <w:rFonts w:hint="eastAsia" w:ascii="仿宋_GB2312" w:hAnsi="等线" w:eastAsia="仿宋_GB2312" w:cs="宋体"/>
                <w:color w:val="000000"/>
                <w:kern w:val="0"/>
                <w:sz w:val="24"/>
                <w:szCs w:val="21"/>
                <w:lang w:val="en-US" w:eastAsia="zh-CN"/>
              </w:rPr>
              <w:t>管委会主任办公</w:t>
            </w:r>
            <w:r>
              <w:rPr>
                <w:rFonts w:hint="eastAsia" w:ascii="仿宋_GB2312" w:hAnsi="等线" w:eastAsia="仿宋_GB2312" w:cs="宋体"/>
                <w:color w:val="000000"/>
                <w:kern w:val="0"/>
                <w:sz w:val="24"/>
                <w:szCs w:val="21"/>
              </w:rPr>
              <w:t>会议召开情况和主要内容</w:t>
            </w:r>
          </w:p>
        </w:tc>
        <w:tc>
          <w:tcPr>
            <w:tcW w:w="1501" w:type="dxa"/>
            <w:vMerge w:val="restart"/>
            <w:shd w:val="clear" w:color="auto" w:fill="auto"/>
            <w:vAlign w:val="center"/>
          </w:tcPr>
          <w:p w14:paraId="32CB855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办公室、宣传文化部牵头，各职能部门配合</w:t>
            </w:r>
          </w:p>
        </w:tc>
      </w:tr>
      <w:tr w14:paraId="773A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07" w:type="dxa"/>
            <w:vMerge w:val="continue"/>
            <w:shd w:val="clear" w:color="auto" w:fill="auto"/>
            <w:vAlign w:val="center"/>
          </w:tcPr>
          <w:p w14:paraId="2A0BCB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9D5A95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5429A5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B304DD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22ADB7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是否提供图文、视频等形式的会议直播或回放</w:t>
            </w:r>
          </w:p>
        </w:tc>
        <w:tc>
          <w:tcPr>
            <w:tcW w:w="1501" w:type="dxa"/>
            <w:vMerge w:val="continue"/>
            <w:shd w:val="clear" w:color="auto" w:fill="auto"/>
            <w:vAlign w:val="center"/>
          </w:tcPr>
          <w:p w14:paraId="0CCCAE9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7A5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07" w:type="dxa"/>
            <w:vMerge w:val="continue"/>
            <w:shd w:val="clear" w:color="auto" w:fill="auto"/>
            <w:vAlign w:val="center"/>
          </w:tcPr>
          <w:p w14:paraId="4244104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B4ADB9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98A1E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61EF44C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会议解读</w:t>
            </w:r>
          </w:p>
        </w:tc>
        <w:tc>
          <w:tcPr>
            <w:tcW w:w="7500" w:type="dxa"/>
            <w:shd w:val="clear" w:color="auto" w:fill="auto"/>
            <w:vAlign w:val="center"/>
          </w:tcPr>
          <w:p w14:paraId="12B7FDF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是否提供会议速读版或一图读懂等相关图解</w:t>
            </w:r>
          </w:p>
        </w:tc>
        <w:tc>
          <w:tcPr>
            <w:tcW w:w="1501" w:type="dxa"/>
            <w:vMerge w:val="continue"/>
            <w:shd w:val="clear" w:color="auto" w:fill="auto"/>
            <w:vAlign w:val="center"/>
          </w:tcPr>
          <w:p w14:paraId="02FC085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CEA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307" w:type="dxa"/>
            <w:vMerge w:val="continue"/>
            <w:shd w:val="clear" w:color="auto" w:fill="auto"/>
            <w:vAlign w:val="center"/>
          </w:tcPr>
          <w:p w14:paraId="64482C2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22A37D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459584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36862E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3E28229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是否对相关议题开展解读或关联相关媒体解读内容</w:t>
            </w:r>
          </w:p>
        </w:tc>
        <w:tc>
          <w:tcPr>
            <w:tcW w:w="1501" w:type="dxa"/>
            <w:vMerge w:val="continue"/>
            <w:shd w:val="clear" w:color="auto" w:fill="auto"/>
            <w:vAlign w:val="center"/>
          </w:tcPr>
          <w:p w14:paraId="46EBEB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E72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restart"/>
            <w:shd w:val="clear" w:color="auto" w:fill="auto"/>
            <w:vAlign w:val="center"/>
          </w:tcPr>
          <w:p w14:paraId="4DEB461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公众参与</w:t>
            </w:r>
          </w:p>
        </w:tc>
        <w:tc>
          <w:tcPr>
            <w:tcW w:w="1222" w:type="dxa"/>
            <w:vMerge w:val="restart"/>
            <w:shd w:val="clear" w:color="auto" w:fill="auto"/>
            <w:vAlign w:val="center"/>
          </w:tcPr>
          <w:p w14:paraId="2BF3A20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建议提案办理</w:t>
            </w:r>
          </w:p>
        </w:tc>
        <w:tc>
          <w:tcPr>
            <w:tcW w:w="1264" w:type="dxa"/>
            <w:vMerge w:val="restart"/>
            <w:shd w:val="clear" w:color="auto" w:fill="auto"/>
            <w:vAlign w:val="center"/>
          </w:tcPr>
          <w:p w14:paraId="038452A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办理结果</w:t>
            </w:r>
          </w:p>
        </w:tc>
        <w:tc>
          <w:tcPr>
            <w:tcW w:w="1800" w:type="dxa"/>
            <w:vMerge w:val="restart"/>
            <w:shd w:val="clear" w:color="auto" w:fill="auto"/>
            <w:vAlign w:val="center"/>
          </w:tcPr>
          <w:p w14:paraId="766121D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栏目建设</w:t>
            </w:r>
          </w:p>
        </w:tc>
        <w:tc>
          <w:tcPr>
            <w:tcW w:w="7500" w:type="dxa"/>
            <w:shd w:val="clear" w:color="auto" w:fill="auto"/>
            <w:vAlign w:val="center"/>
          </w:tcPr>
          <w:p w14:paraId="59633B9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是否设置建议提案办理结果公开专栏或目录</w:t>
            </w:r>
          </w:p>
        </w:tc>
        <w:tc>
          <w:tcPr>
            <w:tcW w:w="1501" w:type="dxa"/>
            <w:vMerge w:val="restart"/>
            <w:shd w:val="clear" w:color="auto" w:fill="auto"/>
            <w:vAlign w:val="center"/>
          </w:tcPr>
          <w:p w14:paraId="1C4477A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办公室（综合室、督查室）牵头，</w:t>
            </w:r>
          </w:p>
          <w:p w14:paraId="6116354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相关部门（单位）配合</w:t>
            </w:r>
          </w:p>
        </w:tc>
      </w:tr>
      <w:tr w14:paraId="215D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67DCE3C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DD5AB2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E5E25A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6EBE79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33CC232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建议提案办理结果公开专栏或目录是否设置查询检索功能</w:t>
            </w:r>
          </w:p>
        </w:tc>
        <w:tc>
          <w:tcPr>
            <w:tcW w:w="1501" w:type="dxa"/>
            <w:vMerge w:val="continue"/>
            <w:shd w:val="clear" w:color="auto" w:fill="auto"/>
            <w:vAlign w:val="center"/>
          </w:tcPr>
          <w:p w14:paraId="3FD2A80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5684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64FEA22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424051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D9FF6A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13CC75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2586005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建议提案办理结果是否方便公众查询</w:t>
            </w:r>
          </w:p>
        </w:tc>
        <w:tc>
          <w:tcPr>
            <w:tcW w:w="1501" w:type="dxa"/>
            <w:vMerge w:val="continue"/>
            <w:shd w:val="clear" w:color="auto" w:fill="auto"/>
            <w:vAlign w:val="center"/>
          </w:tcPr>
          <w:p w14:paraId="6F8A1FA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2D65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8CE37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8056BF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EB7322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1569076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结果公开</w:t>
            </w:r>
          </w:p>
        </w:tc>
        <w:tc>
          <w:tcPr>
            <w:tcW w:w="7500" w:type="dxa"/>
            <w:shd w:val="clear" w:color="auto" w:fill="auto"/>
            <w:vAlign w:val="center"/>
          </w:tcPr>
          <w:p w14:paraId="601C32B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及部门办理的人大代表建议和政协提案的复文全文或摘要</w:t>
            </w:r>
          </w:p>
        </w:tc>
        <w:tc>
          <w:tcPr>
            <w:tcW w:w="1501" w:type="dxa"/>
            <w:vMerge w:val="continue"/>
            <w:shd w:val="clear" w:color="auto" w:fill="auto"/>
            <w:vAlign w:val="center"/>
          </w:tcPr>
          <w:p w14:paraId="503F1F3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461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3AB6440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9906B8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27F126B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总体情况</w:t>
            </w:r>
          </w:p>
        </w:tc>
        <w:tc>
          <w:tcPr>
            <w:tcW w:w="1800" w:type="dxa"/>
            <w:shd w:val="clear" w:color="auto" w:fill="auto"/>
            <w:vAlign w:val="center"/>
          </w:tcPr>
          <w:p w14:paraId="045CC77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发布情况</w:t>
            </w:r>
          </w:p>
        </w:tc>
        <w:tc>
          <w:tcPr>
            <w:tcW w:w="7500" w:type="dxa"/>
            <w:shd w:val="clear" w:color="auto" w:fill="auto"/>
            <w:vAlign w:val="center"/>
          </w:tcPr>
          <w:p w14:paraId="48E197A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是否发布202</w:t>
            </w:r>
            <w:r>
              <w:rPr>
                <w:rFonts w:hint="eastAsia" w:ascii="仿宋_GB2312" w:hAnsi="等线" w:eastAsia="仿宋_GB2312" w:cs="宋体"/>
                <w:color w:val="000000"/>
                <w:kern w:val="0"/>
                <w:sz w:val="24"/>
                <w:szCs w:val="21"/>
                <w:lang w:val="en-US" w:eastAsia="zh-CN"/>
              </w:rPr>
              <w:t>4</w:t>
            </w:r>
            <w:r>
              <w:rPr>
                <w:rFonts w:hint="eastAsia" w:ascii="仿宋_GB2312" w:hAnsi="等线" w:eastAsia="仿宋_GB2312" w:cs="宋体"/>
                <w:color w:val="000000"/>
                <w:kern w:val="0"/>
                <w:sz w:val="24"/>
                <w:szCs w:val="21"/>
              </w:rPr>
              <w:t>年度</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及部门建议提案办理总体情况</w:t>
            </w:r>
          </w:p>
        </w:tc>
        <w:tc>
          <w:tcPr>
            <w:tcW w:w="1501" w:type="dxa"/>
            <w:vMerge w:val="continue"/>
            <w:shd w:val="clear" w:color="auto" w:fill="auto"/>
            <w:vAlign w:val="center"/>
          </w:tcPr>
          <w:p w14:paraId="3EAFF59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AD7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07" w:type="dxa"/>
            <w:vMerge w:val="continue"/>
            <w:shd w:val="clear" w:color="auto" w:fill="auto"/>
            <w:vAlign w:val="center"/>
          </w:tcPr>
          <w:p w14:paraId="267EA86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65E140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629EAA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2CBDB3C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内容覆盖</w:t>
            </w:r>
          </w:p>
        </w:tc>
        <w:tc>
          <w:tcPr>
            <w:tcW w:w="7500" w:type="dxa"/>
            <w:shd w:val="clear" w:color="auto" w:fill="auto"/>
            <w:vAlign w:val="center"/>
          </w:tcPr>
          <w:p w14:paraId="535D6D5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总体情况中是否涵盖办理建议提案的数量、人大代表和政协委员意见建议吸收采纳情况等</w:t>
            </w:r>
          </w:p>
        </w:tc>
        <w:tc>
          <w:tcPr>
            <w:tcW w:w="1501" w:type="dxa"/>
            <w:vMerge w:val="continue"/>
            <w:shd w:val="clear" w:color="auto" w:fill="auto"/>
            <w:vAlign w:val="center"/>
          </w:tcPr>
          <w:p w14:paraId="52E3E59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40E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33A9831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restart"/>
            <w:shd w:val="clear" w:color="auto" w:fill="auto"/>
            <w:vAlign w:val="center"/>
          </w:tcPr>
          <w:p w14:paraId="724A4E7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互动交流</w:t>
            </w:r>
          </w:p>
        </w:tc>
        <w:tc>
          <w:tcPr>
            <w:tcW w:w="1264" w:type="dxa"/>
            <w:vMerge w:val="restart"/>
            <w:shd w:val="clear" w:color="auto" w:fill="auto"/>
            <w:vAlign w:val="center"/>
          </w:tcPr>
          <w:p w14:paraId="6A55B48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平台功能</w:t>
            </w:r>
          </w:p>
        </w:tc>
        <w:tc>
          <w:tcPr>
            <w:tcW w:w="1800" w:type="dxa"/>
            <w:vMerge w:val="restart"/>
            <w:shd w:val="clear" w:color="auto" w:fill="auto"/>
            <w:vAlign w:val="center"/>
          </w:tcPr>
          <w:p w14:paraId="273310E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功能设置</w:t>
            </w:r>
          </w:p>
        </w:tc>
        <w:tc>
          <w:tcPr>
            <w:tcW w:w="7500" w:type="dxa"/>
            <w:shd w:val="clear" w:color="auto" w:fill="auto"/>
            <w:vAlign w:val="center"/>
          </w:tcPr>
          <w:p w14:paraId="30804BB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是否在门户网站搭建统一的互动交流平台</w:t>
            </w:r>
          </w:p>
        </w:tc>
        <w:tc>
          <w:tcPr>
            <w:tcW w:w="1501" w:type="dxa"/>
            <w:vMerge w:val="restart"/>
            <w:shd w:val="clear" w:color="auto" w:fill="auto"/>
            <w:vAlign w:val="center"/>
          </w:tcPr>
          <w:p w14:paraId="54A096E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数字城市部</w:t>
            </w:r>
          </w:p>
        </w:tc>
      </w:tr>
      <w:tr w14:paraId="53C9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2F17389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6E45D4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F6B31D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F3F647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D0B1E8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是否可实现留言评论、在线访谈、征集调查、咨询投诉等功能</w:t>
            </w:r>
          </w:p>
        </w:tc>
        <w:tc>
          <w:tcPr>
            <w:tcW w:w="1501" w:type="dxa"/>
            <w:vMerge w:val="continue"/>
            <w:shd w:val="clear" w:color="auto" w:fill="auto"/>
            <w:vAlign w:val="center"/>
          </w:tcPr>
          <w:p w14:paraId="3CBD55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8C0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51D5736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291E49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5E4C3F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4AB5ADD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功能可用性</w:t>
            </w:r>
          </w:p>
        </w:tc>
        <w:tc>
          <w:tcPr>
            <w:tcW w:w="7500" w:type="dxa"/>
            <w:shd w:val="clear" w:color="auto" w:fill="auto"/>
            <w:vAlign w:val="center"/>
          </w:tcPr>
          <w:p w14:paraId="30ADF17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lang w:val="en-US" w:eastAsia="zh-CN"/>
              </w:rPr>
              <w:t>主任信箱</w:t>
            </w:r>
            <w:r>
              <w:rPr>
                <w:rFonts w:hint="eastAsia" w:ascii="仿宋_GB2312" w:hAnsi="等线" w:eastAsia="仿宋_GB2312" w:cs="宋体"/>
                <w:color w:val="000000"/>
                <w:kern w:val="0"/>
                <w:sz w:val="24"/>
                <w:szCs w:val="21"/>
              </w:rPr>
              <w:t>简单常见问题咨询答复的及时性情况、内容质量情况</w:t>
            </w:r>
          </w:p>
        </w:tc>
        <w:tc>
          <w:tcPr>
            <w:tcW w:w="1501" w:type="dxa"/>
            <w:vMerge w:val="restart"/>
            <w:shd w:val="clear" w:color="auto" w:fill="auto"/>
            <w:vAlign w:val="center"/>
          </w:tcPr>
          <w:p w14:paraId="649F23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办公室（督</w:t>
            </w:r>
            <w:r>
              <w:rPr>
                <w:rFonts w:hint="eastAsia" w:ascii="仿宋_GB2312" w:hAnsi="等线" w:eastAsia="仿宋_GB2312" w:cs="宋体"/>
                <w:color w:val="000000"/>
                <w:spacing w:val="-6"/>
                <w:kern w:val="0"/>
                <w:sz w:val="24"/>
                <w:szCs w:val="21"/>
                <w:lang w:val="en-US" w:eastAsia="zh-CN"/>
              </w:rPr>
              <w:t>查室）牵头，相关部门（单位）配合</w:t>
            </w:r>
          </w:p>
        </w:tc>
      </w:tr>
      <w:tr w14:paraId="5AEC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07" w:type="dxa"/>
            <w:vMerge w:val="continue"/>
            <w:shd w:val="clear" w:color="auto" w:fill="auto"/>
            <w:vAlign w:val="center"/>
          </w:tcPr>
          <w:p w14:paraId="1DD2549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D2E6A5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7A180E3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咨询建言</w:t>
            </w:r>
          </w:p>
        </w:tc>
        <w:tc>
          <w:tcPr>
            <w:tcW w:w="1800" w:type="dxa"/>
            <w:shd w:val="clear" w:color="auto" w:fill="auto"/>
            <w:vAlign w:val="center"/>
          </w:tcPr>
          <w:p w14:paraId="5C897B0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公开内容</w:t>
            </w:r>
          </w:p>
        </w:tc>
        <w:tc>
          <w:tcPr>
            <w:tcW w:w="7500" w:type="dxa"/>
            <w:shd w:val="clear" w:color="auto" w:fill="auto"/>
            <w:vAlign w:val="center"/>
          </w:tcPr>
          <w:p w14:paraId="22EACAF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w:t>
            </w:r>
            <w:r>
              <w:rPr>
                <w:rFonts w:hint="eastAsia" w:ascii="仿宋_GB2312" w:hAnsi="等线" w:eastAsia="仿宋_GB2312" w:cs="宋体"/>
                <w:color w:val="000000"/>
                <w:kern w:val="0"/>
                <w:sz w:val="24"/>
                <w:szCs w:val="21"/>
                <w:lang w:val="en-US" w:eastAsia="zh-CN"/>
              </w:rPr>
              <w:t>主任信箱的</w:t>
            </w:r>
            <w:r>
              <w:rPr>
                <w:rFonts w:hint="eastAsia" w:ascii="仿宋_GB2312" w:hAnsi="等线" w:eastAsia="仿宋_GB2312" w:cs="宋体"/>
                <w:color w:val="000000"/>
                <w:kern w:val="0"/>
                <w:sz w:val="24"/>
                <w:szCs w:val="21"/>
              </w:rPr>
              <w:t>留言时间、答复时间、答复单位、答复内容等内容</w:t>
            </w:r>
          </w:p>
        </w:tc>
        <w:tc>
          <w:tcPr>
            <w:tcW w:w="1501" w:type="dxa"/>
            <w:vMerge w:val="continue"/>
            <w:shd w:val="clear" w:color="auto" w:fill="auto"/>
            <w:vAlign w:val="center"/>
          </w:tcPr>
          <w:p w14:paraId="4638B77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770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jc w:val="center"/>
        </w:trPr>
        <w:tc>
          <w:tcPr>
            <w:tcW w:w="1307" w:type="dxa"/>
            <w:vMerge w:val="continue"/>
            <w:shd w:val="clear" w:color="auto" w:fill="auto"/>
            <w:vAlign w:val="center"/>
          </w:tcPr>
          <w:p w14:paraId="7D2DC86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FE88A9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6BC03A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13656F5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统计数据</w:t>
            </w:r>
          </w:p>
        </w:tc>
        <w:tc>
          <w:tcPr>
            <w:tcW w:w="7500" w:type="dxa"/>
            <w:shd w:val="clear" w:color="auto" w:fill="auto"/>
            <w:vAlign w:val="center"/>
          </w:tcPr>
          <w:p w14:paraId="55B50B5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w:t>
            </w:r>
            <w:r>
              <w:rPr>
                <w:rFonts w:hint="eastAsia" w:ascii="仿宋_GB2312" w:hAnsi="等线" w:eastAsia="仿宋_GB2312" w:cs="宋体"/>
                <w:color w:val="000000"/>
                <w:kern w:val="0"/>
                <w:sz w:val="24"/>
                <w:szCs w:val="21"/>
                <w:lang w:val="en-US" w:eastAsia="zh-CN"/>
              </w:rPr>
              <w:t>主任信箱</w:t>
            </w:r>
            <w:r>
              <w:rPr>
                <w:rFonts w:hint="eastAsia" w:ascii="仿宋_GB2312" w:hAnsi="等线" w:eastAsia="仿宋_GB2312" w:cs="宋体"/>
                <w:color w:val="000000"/>
                <w:kern w:val="0"/>
                <w:sz w:val="24"/>
                <w:szCs w:val="21"/>
              </w:rPr>
              <w:t>留言受理反馈情况统计数据</w:t>
            </w:r>
          </w:p>
        </w:tc>
        <w:tc>
          <w:tcPr>
            <w:tcW w:w="1501" w:type="dxa"/>
            <w:vMerge w:val="continue"/>
            <w:shd w:val="clear" w:color="auto" w:fill="auto"/>
            <w:vAlign w:val="center"/>
          </w:tcPr>
          <w:p w14:paraId="3A9A367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AFF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jc w:val="center"/>
        </w:trPr>
        <w:tc>
          <w:tcPr>
            <w:tcW w:w="1307" w:type="dxa"/>
            <w:vMerge w:val="restart"/>
            <w:shd w:val="clear" w:color="auto" w:fill="auto"/>
            <w:vAlign w:val="center"/>
          </w:tcPr>
          <w:p w14:paraId="7D70B35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监督保障</w:t>
            </w:r>
          </w:p>
        </w:tc>
        <w:tc>
          <w:tcPr>
            <w:tcW w:w="1222" w:type="dxa"/>
            <w:vMerge w:val="restart"/>
            <w:shd w:val="clear" w:color="auto" w:fill="auto"/>
            <w:vAlign w:val="center"/>
          </w:tcPr>
          <w:p w14:paraId="0254DA7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平台建设</w:t>
            </w:r>
          </w:p>
        </w:tc>
        <w:tc>
          <w:tcPr>
            <w:tcW w:w="1264" w:type="dxa"/>
            <w:vMerge w:val="restart"/>
            <w:shd w:val="clear" w:color="auto" w:fill="auto"/>
            <w:vAlign w:val="center"/>
          </w:tcPr>
          <w:p w14:paraId="22078DF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渠道覆盖</w:t>
            </w:r>
          </w:p>
        </w:tc>
        <w:tc>
          <w:tcPr>
            <w:tcW w:w="1800" w:type="dxa"/>
            <w:vMerge w:val="restart"/>
            <w:shd w:val="clear" w:color="auto" w:fill="auto"/>
            <w:vAlign w:val="center"/>
          </w:tcPr>
          <w:p w14:paraId="1E2DDA8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渠道说明</w:t>
            </w:r>
          </w:p>
        </w:tc>
        <w:tc>
          <w:tcPr>
            <w:tcW w:w="7500" w:type="dxa"/>
            <w:shd w:val="clear" w:color="auto" w:fill="auto"/>
            <w:vAlign w:val="center"/>
          </w:tcPr>
          <w:p w14:paraId="1E185E1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是否在政府信息公开指南中说明了</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对外主动公开政府信息的平台渠道情况</w:t>
            </w:r>
          </w:p>
        </w:tc>
        <w:tc>
          <w:tcPr>
            <w:tcW w:w="1501" w:type="dxa"/>
            <w:vMerge w:val="restart"/>
            <w:shd w:val="clear" w:color="auto" w:fill="auto"/>
            <w:vAlign w:val="center"/>
          </w:tcPr>
          <w:p w14:paraId="4B68903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w:t>
            </w:r>
          </w:p>
        </w:tc>
      </w:tr>
      <w:tr w14:paraId="6483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59EC5A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DA6091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5DADEC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483B5F3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E957CB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政府信息公开指南公开的咨询电话的畅通性</w:t>
            </w:r>
          </w:p>
        </w:tc>
        <w:tc>
          <w:tcPr>
            <w:tcW w:w="1501" w:type="dxa"/>
            <w:vMerge w:val="continue"/>
            <w:shd w:val="clear" w:color="auto" w:fill="auto"/>
            <w:vAlign w:val="center"/>
          </w:tcPr>
          <w:p w14:paraId="57F6CF4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C8C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307" w:type="dxa"/>
            <w:vMerge w:val="continue"/>
            <w:shd w:val="clear" w:color="auto" w:fill="auto"/>
            <w:vAlign w:val="center"/>
          </w:tcPr>
          <w:p w14:paraId="120EB01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32BC2F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0322C1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76BDCF8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详细信息</w:t>
            </w:r>
          </w:p>
        </w:tc>
        <w:tc>
          <w:tcPr>
            <w:tcW w:w="7500" w:type="dxa"/>
            <w:shd w:val="clear" w:color="auto" w:fill="auto"/>
            <w:vAlign w:val="center"/>
          </w:tcPr>
          <w:p w14:paraId="36FA19F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线上渠道是否提供了网站或专栏网址、新媒体平台和账号名称、客户端下载链接</w:t>
            </w:r>
            <w:r>
              <w:rPr>
                <w:rFonts w:hint="eastAsia" w:ascii="仿宋_GB2312" w:hAnsi="等线" w:eastAsia="仿宋_GB2312" w:cs="宋体"/>
                <w:color w:val="000000"/>
                <w:kern w:val="0"/>
                <w:sz w:val="24"/>
                <w:szCs w:val="21"/>
                <w:lang w:val="en-US" w:eastAsia="zh-CN"/>
              </w:rPr>
              <w:t>等</w:t>
            </w:r>
            <w:r>
              <w:rPr>
                <w:rFonts w:hint="eastAsia" w:ascii="仿宋_GB2312" w:hAnsi="等线" w:eastAsia="仿宋_GB2312" w:cs="宋体"/>
                <w:color w:val="000000"/>
                <w:kern w:val="0"/>
                <w:sz w:val="24"/>
                <w:szCs w:val="21"/>
              </w:rPr>
              <w:t>详细信息</w:t>
            </w:r>
          </w:p>
        </w:tc>
        <w:tc>
          <w:tcPr>
            <w:tcW w:w="1501" w:type="dxa"/>
            <w:vMerge w:val="continue"/>
            <w:shd w:val="clear" w:color="auto" w:fill="auto"/>
            <w:vAlign w:val="center"/>
          </w:tcPr>
          <w:p w14:paraId="3695DD7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256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15DDC86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A66A5C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C7EF31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F405D7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38E63A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政府信息查阅场所是否提供了地理位置、联系方式、开放时间等</w:t>
            </w:r>
          </w:p>
        </w:tc>
        <w:tc>
          <w:tcPr>
            <w:tcW w:w="1501" w:type="dxa"/>
            <w:vMerge w:val="continue"/>
            <w:shd w:val="clear" w:color="auto" w:fill="auto"/>
            <w:vAlign w:val="center"/>
          </w:tcPr>
          <w:p w14:paraId="648A5D3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AE5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7B488F4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8F2A76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1AFD48E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政府网站</w:t>
            </w:r>
          </w:p>
        </w:tc>
        <w:tc>
          <w:tcPr>
            <w:tcW w:w="1800" w:type="dxa"/>
            <w:vMerge w:val="restart"/>
            <w:shd w:val="clear" w:color="auto" w:fill="auto"/>
            <w:vAlign w:val="center"/>
          </w:tcPr>
          <w:p w14:paraId="337E015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建设管理</w:t>
            </w:r>
          </w:p>
        </w:tc>
        <w:tc>
          <w:tcPr>
            <w:tcW w:w="7500" w:type="dxa"/>
            <w:shd w:val="clear" w:color="auto" w:fill="auto"/>
            <w:vAlign w:val="center"/>
          </w:tcPr>
          <w:p w14:paraId="5389096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政府网站的IPV6的建设改造实现情况</w:t>
            </w:r>
          </w:p>
        </w:tc>
        <w:tc>
          <w:tcPr>
            <w:tcW w:w="1501" w:type="dxa"/>
            <w:vMerge w:val="restart"/>
            <w:shd w:val="clear" w:color="auto" w:fill="auto"/>
            <w:vAlign w:val="center"/>
          </w:tcPr>
          <w:p w14:paraId="49A746E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数字城市部</w:t>
            </w:r>
          </w:p>
        </w:tc>
      </w:tr>
      <w:tr w14:paraId="2FCA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07" w:type="dxa"/>
            <w:vMerge w:val="continue"/>
            <w:shd w:val="clear" w:color="auto" w:fill="auto"/>
            <w:vAlign w:val="center"/>
          </w:tcPr>
          <w:p w14:paraId="3C004E0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B9F710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75C5D9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4FFD276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2B019B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政府网站主要页面、栏目的更新维护情况,以及是否存在安全、泄密事故、断错链等问题</w:t>
            </w:r>
          </w:p>
        </w:tc>
        <w:tc>
          <w:tcPr>
            <w:tcW w:w="1501" w:type="dxa"/>
            <w:vMerge w:val="continue"/>
            <w:shd w:val="clear" w:color="auto" w:fill="auto"/>
            <w:vAlign w:val="center"/>
          </w:tcPr>
          <w:p w14:paraId="349144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6A8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7" w:type="dxa"/>
            <w:vMerge w:val="continue"/>
            <w:shd w:val="clear" w:color="auto" w:fill="auto"/>
            <w:vAlign w:val="center"/>
          </w:tcPr>
          <w:p w14:paraId="11EF991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3BFA46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44FA3B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3E263F4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站内检索</w:t>
            </w:r>
          </w:p>
        </w:tc>
        <w:tc>
          <w:tcPr>
            <w:tcW w:w="7500" w:type="dxa"/>
            <w:shd w:val="clear" w:color="auto" w:fill="auto"/>
            <w:vAlign w:val="center"/>
          </w:tcPr>
          <w:p w14:paraId="56A3323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搜索结果的准确性、易用性、智能化情况</w:t>
            </w:r>
          </w:p>
        </w:tc>
        <w:tc>
          <w:tcPr>
            <w:tcW w:w="1501" w:type="dxa"/>
            <w:vMerge w:val="continue"/>
            <w:shd w:val="clear" w:color="auto" w:fill="auto"/>
            <w:vAlign w:val="center"/>
          </w:tcPr>
          <w:p w14:paraId="1482AB5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5ABF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7FEC2D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AC85B7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725903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0661F1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1E1B17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搜索结果是否实现分类展现</w:t>
            </w:r>
          </w:p>
        </w:tc>
        <w:tc>
          <w:tcPr>
            <w:tcW w:w="1501" w:type="dxa"/>
            <w:vMerge w:val="continue"/>
            <w:shd w:val="clear" w:color="auto" w:fill="auto"/>
            <w:vAlign w:val="center"/>
          </w:tcPr>
          <w:p w14:paraId="78426F5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991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1DA189F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8B384F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5D4B86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B9AF0F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7966D9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spacing w:val="-6"/>
                <w:kern w:val="0"/>
                <w:sz w:val="24"/>
                <w:szCs w:val="21"/>
                <w:lang w:val="en-US" w:eastAsia="zh-CN"/>
              </w:rPr>
              <w:t>是否能根据搜索关键词聚合相关信息和服务功能，实现“搜索即服务”</w:t>
            </w:r>
          </w:p>
        </w:tc>
        <w:tc>
          <w:tcPr>
            <w:tcW w:w="1501" w:type="dxa"/>
            <w:vMerge w:val="continue"/>
            <w:shd w:val="clear" w:color="auto" w:fill="auto"/>
            <w:vAlign w:val="center"/>
          </w:tcPr>
          <w:p w14:paraId="6CF105E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64B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307" w:type="dxa"/>
            <w:vMerge w:val="continue"/>
            <w:shd w:val="clear" w:color="auto" w:fill="auto"/>
            <w:vAlign w:val="center"/>
          </w:tcPr>
          <w:p w14:paraId="5414038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A02CF0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C05B69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3E8B1A4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适老化和无障碍改造</w:t>
            </w:r>
          </w:p>
        </w:tc>
        <w:tc>
          <w:tcPr>
            <w:tcW w:w="7500" w:type="dxa"/>
            <w:shd w:val="clear" w:color="auto" w:fill="auto"/>
            <w:vAlign w:val="center"/>
          </w:tcPr>
          <w:p w14:paraId="5E004B2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spacing w:val="-6"/>
                <w:kern w:val="0"/>
                <w:sz w:val="24"/>
                <w:szCs w:val="21"/>
                <w:lang w:val="en-US" w:eastAsia="zh-CN"/>
              </w:rPr>
              <w:t>政府网站是否提供页面视图切换、配色、辅助线定位、页面尺寸调整，大字幕、大鼠标、大字间距、大界面、读屏等无障碍及适老化功能</w:t>
            </w:r>
          </w:p>
        </w:tc>
        <w:tc>
          <w:tcPr>
            <w:tcW w:w="1501" w:type="dxa"/>
            <w:vMerge w:val="continue"/>
            <w:shd w:val="clear" w:color="auto" w:fill="auto"/>
            <w:vAlign w:val="center"/>
          </w:tcPr>
          <w:p w14:paraId="5EB6020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951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restart"/>
            <w:shd w:val="clear" w:color="auto" w:fill="auto"/>
            <w:vAlign w:val="center"/>
          </w:tcPr>
          <w:p w14:paraId="5616DBB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监督保障</w:t>
            </w:r>
          </w:p>
        </w:tc>
        <w:tc>
          <w:tcPr>
            <w:tcW w:w="1222" w:type="dxa"/>
            <w:vMerge w:val="restart"/>
            <w:shd w:val="clear" w:color="auto" w:fill="auto"/>
            <w:vAlign w:val="center"/>
          </w:tcPr>
          <w:p w14:paraId="46ACF43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rPr>
              <w:t>平台建设</w:t>
            </w:r>
          </w:p>
        </w:tc>
        <w:tc>
          <w:tcPr>
            <w:tcW w:w="1264" w:type="dxa"/>
            <w:vMerge w:val="restart"/>
            <w:shd w:val="clear" w:color="auto" w:fill="auto"/>
            <w:vAlign w:val="center"/>
          </w:tcPr>
          <w:p w14:paraId="0851BE5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政务</w:t>
            </w:r>
          </w:p>
          <w:p w14:paraId="18809F0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新媒体</w:t>
            </w:r>
          </w:p>
        </w:tc>
        <w:tc>
          <w:tcPr>
            <w:tcW w:w="1800" w:type="dxa"/>
            <w:vMerge w:val="restart"/>
            <w:shd w:val="clear" w:color="auto" w:fill="auto"/>
            <w:vAlign w:val="center"/>
          </w:tcPr>
          <w:p w14:paraId="7DD79AC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建设管理</w:t>
            </w:r>
          </w:p>
        </w:tc>
        <w:tc>
          <w:tcPr>
            <w:tcW w:w="7500" w:type="dxa"/>
            <w:shd w:val="clear" w:color="auto" w:fill="auto"/>
            <w:vAlign w:val="center"/>
          </w:tcPr>
          <w:p w14:paraId="71A10E2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是否开通并在门户网站提供有效的链接</w:t>
            </w:r>
          </w:p>
        </w:tc>
        <w:tc>
          <w:tcPr>
            <w:tcW w:w="1501" w:type="dxa"/>
            <w:shd w:val="clear" w:color="auto" w:fill="auto"/>
            <w:vAlign w:val="center"/>
          </w:tcPr>
          <w:p w14:paraId="68729C3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办公室、数字城市部</w:t>
            </w:r>
          </w:p>
        </w:tc>
      </w:tr>
      <w:tr w14:paraId="364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307" w:type="dxa"/>
            <w:vMerge w:val="continue"/>
            <w:shd w:val="clear" w:color="auto" w:fill="auto"/>
            <w:vAlign w:val="center"/>
          </w:tcPr>
          <w:p w14:paraId="62A9CF9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2BF555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E6BD50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44D8DBC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3A0C23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政务新媒体信息更新的及时性，以及是否存在安全、泄密事故、严重表述错误、断错链等问题</w:t>
            </w:r>
          </w:p>
        </w:tc>
        <w:tc>
          <w:tcPr>
            <w:tcW w:w="1501" w:type="dxa"/>
            <w:vMerge w:val="restart"/>
            <w:shd w:val="clear" w:color="auto" w:fill="auto"/>
            <w:vAlign w:val="center"/>
          </w:tcPr>
          <w:p w14:paraId="4941252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69FB260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各职能部门、直属单位，</w:t>
            </w:r>
            <w:r>
              <w:rPr>
                <w:rFonts w:hint="eastAsia" w:ascii="仿宋_GB2312" w:hAnsi="等线" w:eastAsia="仿宋_GB2312" w:cs="宋体"/>
                <w:color w:val="000000"/>
                <w:kern w:val="0"/>
                <w:sz w:val="24"/>
                <w:szCs w:val="21"/>
                <w:lang w:val="en-US" w:eastAsia="zh-CN"/>
              </w:rPr>
              <w:t>驻区各单位，各街道办事处</w:t>
            </w:r>
          </w:p>
          <w:p w14:paraId="18ECF67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60AA3AD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14FC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07" w:type="dxa"/>
            <w:vMerge w:val="continue"/>
            <w:shd w:val="clear" w:color="auto" w:fill="auto"/>
            <w:vAlign w:val="center"/>
          </w:tcPr>
          <w:p w14:paraId="4B2CA27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E44158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2AB5FA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50EE69B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功能应用</w:t>
            </w:r>
          </w:p>
        </w:tc>
        <w:tc>
          <w:tcPr>
            <w:tcW w:w="7500" w:type="dxa"/>
            <w:shd w:val="clear" w:color="auto" w:fill="auto"/>
            <w:vAlign w:val="center"/>
          </w:tcPr>
          <w:p w14:paraId="11A783B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政务新媒体发布内容质量情况，是否围绕本职工作做好政策的发布、解读以及原创信息丰富程度</w:t>
            </w:r>
          </w:p>
        </w:tc>
        <w:tc>
          <w:tcPr>
            <w:tcW w:w="1501" w:type="dxa"/>
            <w:vMerge w:val="continue"/>
            <w:shd w:val="clear" w:color="auto" w:fill="auto"/>
            <w:vAlign w:val="center"/>
          </w:tcPr>
          <w:p w14:paraId="6B6F7EA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751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17F3236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7614C5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0BC19B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F5205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FEA4A9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是否整合了政府网站入口、办事服务、便民查询和互动交流等功能</w:t>
            </w:r>
          </w:p>
        </w:tc>
        <w:tc>
          <w:tcPr>
            <w:tcW w:w="1501" w:type="dxa"/>
            <w:vMerge w:val="continue"/>
            <w:shd w:val="clear" w:color="auto" w:fill="auto"/>
            <w:vAlign w:val="center"/>
          </w:tcPr>
          <w:p w14:paraId="58D6234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5BC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344CF5F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restart"/>
            <w:shd w:val="clear" w:color="auto" w:fill="auto"/>
            <w:vAlign w:val="center"/>
          </w:tcPr>
          <w:p w14:paraId="7467C85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机制建设</w:t>
            </w:r>
          </w:p>
        </w:tc>
        <w:tc>
          <w:tcPr>
            <w:tcW w:w="1264" w:type="dxa"/>
            <w:vMerge w:val="restart"/>
            <w:shd w:val="clear" w:color="auto" w:fill="auto"/>
            <w:vAlign w:val="center"/>
          </w:tcPr>
          <w:p w14:paraId="06B4368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主动公开基本目录</w:t>
            </w:r>
          </w:p>
        </w:tc>
        <w:tc>
          <w:tcPr>
            <w:tcW w:w="1800" w:type="dxa"/>
            <w:shd w:val="clear" w:color="auto" w:fill="auto"/>
            <w:vAlign w:val="center"/>
          </w:tcPr>
          <w:p w14:paraId="64FCC7B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发布更新</w:t>
            </w:r>
          </w:p>
        </w:tc>
        <w:tc>
          <w:tcPr>
            <w:tcW w:w="7500" w:type="dxa"/>
            <w:shd w:val="clear" w:color="auto" w:fill="auto"/>
            <w:vAlign w:val="center"/>
          </w:tcPr>
          <w:p w14:paraId="29052D8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是否在政府网站公开主动公开基本目录，并动态调整更新</w:t>
            </w:r>
          </w:p>
        </w:tc>
        <w:tc>
          <w:tcPr>
            <w:tcW w:w="1501" w:type="dxa"/>
            <w:vMerge w:val="restart"/>
            <w:shd w:val="clear" w:color="auto" w:fill="auto"/>
            <w:vAlign w:val="center"/>
          </w:tcPr>
          <w:p w14:paraId="34F4022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各职能部门、驻区各单位、</w:t>
            </w:r>
            <w:r>
              <w:rPr>
                <w:rFonts w:hint="eastAsia" w:ascii="仿宋_GB2312" w:hAnsi="等线" w:eastAsia="仿宋_GB2312" w:cs="宋体"/>
                <w:color w:val="000000"/>
                <w:kern w:val="0"/>
                <w:sz w:val="24"/>
                <w:szCs w:val="21"/>
                <w:lang w:val="en-US" w:eastAsia="zh-CN"/>
              </w:rPr>
              <w:t>各街道办事处</w:t>
            </w:r>
          </w:p>
          <w:p w14:paraId="7EEFD9A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0A93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57160A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963BF9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5F7D56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78D3FB4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内容规范性</w:t>
            </w:r>
          </w:p>
        </w:tc>
        <w:tc>
          <w:tcPr>
            <w:tcW w:w="7500" w:type="dxa"/>
            <w:shd w:val="clear" w:color="auto" w:fill="auto"/>
            <w:vAlign w:val="center"/>
          </w:tcPr>
          <w:p w14:paraId="279AA42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是否明确了各公开事项的主体、内容、时限、方式等</w:t>
            </w:r>
          </w:p>
        </w:tc>
        <w:tc>
          <w:tcPr>
            <w:tcW w:w="1501" w:type="dxa"/>
            <w:vMerge w:val="continue"/>
            <w:shd w:val="clear" w:color="auto" w:fill="auto"/>
            <w:vAlign w:val="center"/>
          </w:tcPr>
          <w:p w14:paraId="4EF4131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0B9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6999E1B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7F6B72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3C5776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600593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5CF8A6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主体、内容、时限、方式等要素是否准确</w:t>
            </w:r>
          </w:p>
        </w:tc>
        <w:tc>
          <w:tcPr>
            <w:tcW w:w="1501" w:type="dxa"/>
            <w:vMerge w:val="continue"/>
            <w:shd w:val="clear" w:color="auto" w:fill="auto"/>
            <w:vAlign w:val="center"/>
          </w:tcPr>
          <w:p w14:paraId="1D6CACC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678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07" w:type="dxa"/>
            <w:vMerge w:val="continue"/>
            <w:shd w:val="clear" w:color="auto" w:fill="auto"/>
            <w:vAlign w:val="center"/>
          </w:tcPr>
          <w:p w14:paraId="126D44F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EF42CD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047EA63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业务培训</w:t>
            </w:r>
          </w:p>
        </w:tc>
        <w:tc>
          <w:tcPr>
            <w:tcW w:w="1800" w:type="dxa"/>
            <w:shd w:val="clear" w:color="auto" w:fill="auto"/>
            <w:vAlign w:val="center"/>
          </w:tcPr>
          <w:p w14:paraId="385E414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培训计划</w:t>
            </w:r>
          </w:p>
        </w:tc>
        <w:tc>
          <w:tcPr>
            <w:tcW w:w="7500" w:type="dxa"/>
            <w:shd w:val="clear" w:color="auto" w:fill="auto"/>
            <w:vAlign w:val="center"/>
          </w:tcPr>
          <w:p w14:paraId="07A2F89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是否发布政务公开业务培训计划</w:t>
            </w:r>
          </w:p>
        </w:tc>
        <w:tc>
          <w:tcPr>
            <w:tcW w:w="1501" w:type="dxa"/>
            <w:vMerge w:val="restart"/>
            <w:shd w:val="clear" w:color="auto" w:fill="auto"/>
            <w:vAlign w:val="center"/>
          </w:tcPr>
          <w:p w14:paraId="51800E8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w:t>
            </w:r>
          </w:p>
        </w:tc>
      </w:tr>
      <w:tr w14:paraId="0EBB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307" w:type="dxa"/>
            <w:vMerge w:val="continue"/>
            <w:shd w:val="clear" w:color="auto" w:fill="auto"/>
            <w:vAlign w:val="center"/>
          </w:tcPr>
          <w:p w14:paraId="76B98A6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DFA885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D48EA7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2391DD1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开展情况</w:t>
            </w:r>
          </w:p>
        </w:tc>
        <w:tc>
          <w:tcPr>
            <w:tcW w:w="7500" w:type="dxa"/>
            <w:shd w:val="clear" w:color="auto" w:fill="auto"/>
            <w:vAlign w:val="center"/>
          </w:tcPr>
          <w:p w14:paraId="75DEDFB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是否按照计划开展或参加政务公开业务培训</w:t>
            </w:r>
          </w:p>
        </w:tc>
        <w:tc>
          <w:tcPr>
            <w:tcW w:w="1501" w:type="dxa"/>
            <w:vMerge w:val="continue"/>
            <w:shd w:val="clear" w:color="auto" w:fill="auto"/>
            <w:vAlign w:val="center"/>
          </w:tcPr>
          <w:p w14:paraId="1E4AAF5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201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07" w:type="dxa"/>
            <w:vMerge w:val="restart"/>
            <w:shd w:val="clear" w:color="auto" w:fill="auto"/>
            <w:vAlign w:val="center"/>
          </w:tcPr>
          <w:p w14:paraId="475C247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监督保障</w:t>
            </w:r>
          </w:p>
        </w:tc>
        <w:tc>
          <w:tcPr>
            <w:tcW w:w="1222" w:type="dxa"/>
            <w:vMerge w:val="restart"/>
            <w:shd w:val="clear" w:color="auto" w:fill="auto"/>
            <w:vAlign w:val="center"/>
          </w:tcPr>
          <w:p w14:paraId="3BFBE1B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机制建设</w:t>
            </w:r>
          </w:p>
        </w:tc>
        <w:tc>
          <w:tcPr>
            <w:tcW w:w="1264" w:type="dxa"/>
            <w:vMerge w:val="restart"/>
            <w:shd w:val="clear" w:color="auto" w:fill="auto"/>
            <w:vAlign w:val="center"/>
          </w:tcPr>
          <w:p w14:paraId="5670311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政府信息公开工作年度报告</w:t>
            </w:r>
          </w:p>
        </w:tc>
        <w:tc>
          <w:tcPr>
            <w:tcW w:w="1800" w:type="dxa"/>
            <w:vMerge w:val="restart"/>
            <w:shd w:val="clear" w:color="auto" w:fill="auto"/>
            <w:vAlign w:val="center"/>
          </w:tcPr>
          <w:p w14:paraId="58FE2E0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年报格式</w:t>
            </w:r>
          </w:p>
        </w:tc>
        <w:tc>
          <w:tcPr>
            <w:tcW w:w="7500" w:type="dxa"/>
            <w:shd w:val="clear" w:color="auto" w:fill="auto"/>
            <w:vAlign w:val="center"/>
          </w:tcPr>
          <w:p w14:paraId="22D3E33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w:t>
            </w:r>
            <w:r>
              <w:rPr>
                <w:rFonts w:hint="eastAsia" w:ascii="仿宋_GB2312" w:hAnsi="等线" w:eastAsia="仿宋_GB2312" w:cs="宋体"/>
                <w:color w:val="000000"/>
                <w:kern w:val="0"/>
                <w:sz w:val="24"/>
                <w:szCs w:val="21"/>
                <w:lang w:val="en-US" w:eastAsia="zh-CN"/>
              </w:rPr>
              <w:t>于</w:t>
            </w:r>
            <w:r>
              <w:rPr>
                <w:rFonts w:hint="eastAsia" w:ascii="仿宋_GB2312" w:hAnsi="等线" w:eastAsia="仿宋_GB2312" w:cs="宋体"/>
                <w:color w:val="000000"/>
                <w:kern w:val="0"/>
                <w:sz w:val="24"/>
                <w:szCs w:val="21"/>
              </w:rPr>
              <w:t>2025年2月20日前在政府信息公开专栏发布了</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和部门202</w:t>
            </w:r>
            <w:r>
              <w:rPr>
                <w:rFonts w:hint="eastAsia" w:ascii="仿宋_GB2312" w:hAnsi="等线" w:eastAsia="仿宋_GB2312" w:cs="宋体"/>
                <w:color w:val="000000"/>
                <w:kern w:val="0"/>
                <w:sz w:val="24"/>
                <w:szCs w:val="21"/>
                <w:lang w:val="en-US" w:eastAsia="zh-CN"/>
              </w:rPr>
              <w:t>4</w:t>
            </w:r>
            <w:r>
              <w:rPr>
                <w:rFonts w:hint="eastAsia" w:ascii="仿宋_GB2312" w:hAnsi="等线" w:eastAsia="仿宋_GB2312" w:cs="宋体"/>
                <w:color w:val="000000"/>
                <w:kern w:val="0"/>
                <w:sz w:val="24"/>
                <w:szCs w:val="21"/>
              </w:rPr>
              <w:t>年度政府信息公开工作年度报告</w:t>
            </w:r>
          </w:p>
        </w:tc>
        <w:tc>
          <w:tcPr>
            <w:tcW w:w="1501" w:type="dxa"/>
            <w:vMerge w:val="restart"/>
            <w:shd w:val="clear" w:color="auto" w:fill="auto"/>
            <w:vAlign w:val="center"/>
          </w:tcPr>
          <w:p w14:paraId="6D878DE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52D5E14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48E407C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30ACCB7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1557525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lang w:val="en-US" w:eastAsia="zh-CN"/>
              </w:rPr>
              <w:t>各职能部门、驻区各单位、</w:t>
            </w:r>
            <w:r>
              <w:rPr>
                <w:rFonts w:hint="eastAsia" w:ascii="仿宋_GB2312" w:hAnsi="等线" w:eastAsia="仿宋_GB2312" w:cs="宋体"/>
                <w:color w:val="000000"/>
                <w:kern w:val="0"/>
                <w:sz w:val="24"/>
                <w:szCs w:val="21"/>
                <w:lang w:val="en-US" w:eastAsia="zh-CN"/>
              </w:rPr>
              <w:t>各街道办事处</w:t>
            </w:r>
          </w:p>
          <w:p w14:paraId="0B08726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57D1CB6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0282BD3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2DBDE9E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1183C34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33D52C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tc>
      </w:tr>
      <w:tr w14:paraId="59EA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07" w:type="dxa"/>
            <w:vMerge w:val="continue"/>
            <w:shd w:val="clear" w:color="auto" w:fill="auto"/>
            <w:vAlign w:val="center"/>
          </w:tcPr>
          <w:p w14:paraId="0A4EE14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BDE1F9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7C2FC7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2F84000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03CE64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年度报告格式是否符合《中华人民共和国政府信息公开工作年度报告格式》（国办公开办函〔2021〕30号）要求</w:t>
            </w:r>
          </w:p>
        </w:tc>
        <w:tc>
          <w:tcPr>
            <w:tcW w:w="1501" w:type="dxa"/>
            <w:vMerge w:val="continue"/>
            <w:shd w:val="clear" w:color="auto" w:fill="auto"/>
            <w:vAlign w:val="center"/>
          </w:tcPr>
          <w:p w14:paraId="4CB3B67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9BD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07" w:type="dxa"/>
            <w:vMerge w:val="continue"/>
            <w:shd w:val="clear" w:color="auto" w:fill="auto"/>
            <w:vAlign w:val="center"/>
          </w:tcPr>
          <w:p w14:paraId="1B0B509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0555DC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E864DA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44E51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F602A1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发布时间是否在202</w:t>
            </w:r>
            <w:r>
              <w:rPr>
                <w:rFonts w:hint="eastAsia" w:ascii="仿宋_GB2312" w:hAnsi="等线" w:eastAsia="仿宋_GB2312" w:cs="宋体"/>
                <w:color w:val="000000"/>
                <w:kern w:val="0"/>
                <w:sz w:val="24"/>
                <w:szCs w:val="21"/>
                <w:lang w:val="en-US" w:eastAsia="zh-CN"/>
              </w:rPr>
              <w:t>5</w:t>
            </w:r>
            <w:r>
              <w:rPr>
                <w:rFonts w:hint="eastAsia" w:ascii="仿宋_GB2312" w:hAnsi="等线" w:eastAsia="仿宋_GB2312" w:cs="宋体"/>
                <w:color w:val="000000"/>
                <w:kern w:val="0"/>
                <w:sz w:val="24"/>
                <w:szCs w:val="21"/>
              </w:rPr>
              <w:t>年2月20日前（部门和街道发布时间是否在202</w:t>
            </w:r>
            <w:r>
              <w:rPr>
                <w:rFonts w:hint="eastAsia" w:ascii="仿宋_GB2312" w:hAnsi="等线" w:eastAsia="仿宋_GB2312" w:cs="宋体"/>
                <w:color w:val="000000"/>
                <w:kern w:val="0"/>
                <w:sz w:val="24"/>
                <w:szCs w:val="21"/>
                <w:lang w:val="en-US" w:eastAsia="zh-CN"/>
              </w:rPr>
              <w:t>5</w:t>
            </w:r>
            <w:r>
              <w:rPr>
                <w:rFonts w:hint="eastAsia" w:ascii="仿宋_GB2312" w:hAnsi="等线" w:eastAsia="仿宋_GB2312" w:cs="宋体"/>
                <w:color w:val="000000"/>
                <w:kern w:val="0"/>
                <w:sz w:val="24"/>
                <w:szCs w:val="21"/>
              </w:rPr>
              <w:t>年1月31日前）</w:t>
            </w:r>
          </w:p>
        </w:tc>
        <w:tc>
          <w:tcPr>
            <w:tcW w:w="1501" w:type="dxa"/>
            <w:vMerge w:val="continue"/>
            <w:shd w:val="clear" w:color="auto" w:fill="auto"/>
            <w:vAlign w:val="center"/>
          </w:tcPr>
          <w:p w14:paraId="35E43D8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344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07" w:type="dxa"/>
            <w:vMerge w:val="continue"/>
            <w:shd w:val="clear" w:color="auto" w:fill="auto"/>
            <w:vAlign w:val="center"/>
          </w:tcPr>
          <w:p w14:paraId="0E96F6B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C73F51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2A6431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7B43220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报告内容</w:t>
            </w:r>
          </w:p>
        </w:tc>
        <w:tc>
          <w:tcPr>
            <w:tcW w:w="7500" w:type="dxa"/>
            <w:shd w:val="clear" w:color="auto" w:fill="auto"/>
            <w:vAlign w:val="center"/>
          </w:tcPr>
          <w:p w14:paraId="28B3D4E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是否说明报告本地区主动公开、依申请公开、政府信息管理、政府信息公开平台建设、监督保障等情况</w:t>
            </w:r>
          </w:p>
        </w:tc>
        <w:tc>
          <w:tcPr>
            <w:tcW w:w="1501" w:type="dxa"/>
            <w:vMerge w:val="continue"/>
            <w:shd w:val="clear" w:color="auto" w:fill="auto"/>
            <w:vAlign w:val="center"/>
          </w:tcPr>
          <w:p w14:paraId="1AF1FA4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70D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7" w:type="dxa"/>
            <w:vMerge w:val="continue"/>
            <w:shd w:val="clear" w:color="auto" w:fill="auto"/>
            <w:vAlign w:val="center"/>
          </w:tcPr>
          <w:p w14:paraId="2886947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861F5D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4B6E22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E7B163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D1560E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主动公开政府信息情况数据统计表格填报是否规范、准确</w:t>
            </w:r>
          </w:p>
        </w:tc>
        <w:tc>
          <w:tcPr>
            <w:tcW w:w="1501" w:type="dxa"/>
            <w:vMerge w:val="continue"/>
            <w:shd w:val="clear" w:color="auto" w:fill="auto"/>
            <w:vAlign w:val="center"/>
          </w:tcPr>
          <w:p w14:paraId="74E5F5B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95E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07" w:type="dxa"/>
            <w:vMerge w:val="continue"/>
            <w:shd w:val="clear" w:color="auto" w:fill="auto"/>
            <w:vAlign w:val="center"/>
          </w:tcPr>
          <w:p w14:paraId="5379A73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BEAB92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BD0160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011183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A977AF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收到和处理政府信息公开申请情况数据统计表格填报是否规范、准确</w:t>
            </w:r>
          </w:p>
        </w:tc>
        <w:tc>
          <w:tcPr>
            <w:tcW w:w="1501" w:type="dxa"/>
            <w:vMerge w:val="continue"/>
            <w:shd w:val="clear" w:color="auto" w:fill="auto"/>
            <w:vAlign w:val="center"/>
          </w:tcPr>
          <w:p w14:paraId="38AED42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026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5C5D626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B75127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F9C28D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736A6C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914C44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因政府信息公开工作被申请行政复议、提起行政诉讼情况数据统计表格填报是否规范、准确</w:t>
            </w:r>
          </w:p>
        </w:tc>
        <w:tc>
          <w:tcPr>
            <w:tcW w:w="1501" w:type="dxa"/>
            <w:vMerge w:val="continue"/>
            <w:shd w:val="clear" w:color="auto" w:fill="auto"/>
            <w:vAlign w:val="center"/>
          </w:tcPr>
          <w:p w14:paraId="3968970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FD5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07" w:type="dxa"/>
            <w:vMerge w:val="continue"/>
            <w:shd w:val="clear" w:color="auto" w:fill="auto"/>
            <w:vAlign w:val="center"/>
          </w:tcPr>
          <w:p w14:paraId="41E8D9A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EF8051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F7D5BA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CA4980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22D7331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本地区政府信息公开工作中存在的主要问题及改进情况</w:t>
            </w:r>
          </w:p>
        </w:tc>
        <w:tc>
          <w:tcPr>
            <w:tcW w:w="1501" w:type="dxa"/>
            <w:vMerge w:val="continue"/>
            <w:shd w:val="clear" w:color="auto" w:fill="auto"/>
            <w:vAlign w:val="center"/>
          </w:tcPr>
          <w:p w14:paraId="3CE3E7C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F75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2566D34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E95DB2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F77B34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135EE9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7D1D31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本地区依据《政府信息公开信息处理费管理办法》收取信息处理费的情况</w:t>
            </w:r>
          </w:p>
        </w:tc>
        <w:tc>
          <w:tcPr>
            <w:tcW w:w="1501" w:type="dxa"/>
            <w:vMerge w:val="continue"/>
            <w:shd w:val="clear" w:color="auto" w:fill="auto"/>
            <w:vAlign w:val="center"/>
          </w:tcPr>
          <w:p w14:paraId="695F58B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D07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07" w:type="dxa"/>
            <w:vMerge w:val="continue"/>
            <w:shd w:val="clear" w:color="auto" w:fill="auto"/>
            <w:vAlign w:val="center"/>
          </w:tcPr>
          <w:p w14:paraId="3CDDC10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44FD3D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90AD80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87FD12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52F920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本地区落实上级年度政务公开工作要点情况</w:t>
            </w:r>
          </w:p>
        </w:tc>
        <w:tc>
          <w:tcPr>
            <w:tcW w:w="1501" w:type="dxa"/>
            <w:vMerge w:val="continue"/>
            <w:shd w:val="clear" w:color="auto" w:fill="auto"/>
            <w:vAlign w:val="center"/>
          </w:tcPr>
          <w:p w14:paraId="346BEB6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33E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07" w:type="dxa"/>
            <w:vMerge w:val="continue"/>
            <w:shd w:val="clear" w:color="auto" w:fill="auto"/>
            <w:vAlign w:val="center"/>
          </w:tcPr>
          <w:p w14:paraId="4CD9499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975768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DFEC23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CE9D85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3D2690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本地区人大代表建议和政协提案办理结果公开情况</w:t>
            </w:r>
          </w:p>
        </w:tc>
        <w:tc>
          <w:tcPr>
            <w:tcW w:w="1501" w:type="dxa"/>
            <w:vMerge w:val="continue"/>
            <w:shd w:val="clear" w:color="auto" w:fill="auto"/>
            <w:vAlign w:val="center"/>
          </w:tcPr>
          <w:p w14:paraId="054AFB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bl>
    <w:p w14:paraId="1DCEE7CA">
      <w:pPr>
        <w:keepNext w:val="0"/>
        <w:keepLines w:val="0"/>
        <w:pageBreakBefore w:val="0"/>
        <w:widowControl/>
        <w:shd w:val="clear"/>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rPr>
      </w:pPr>
    </w:p>
    <w:p w14:paraId="3E313AB6">
      <w:pPr>
        <w:pStyle w:val="10"/>
        <w:rPr>
          <w:rFonts w:hint="eastAsia"/>
        </w:rPr>
        <w:sectPr>
          <w:headerReference r:id="rId6" w:type="first"/>
          <w:footerReference r:id="rId9" w:type="first"/>
          <w:headerReference r:id="rId4" w:type="default"/>
          <w:footerReference r:id="rId7" w:type="default"/>
          <w:headerReference r:id="rId5" w:type="even"/>
          <w:footerReference r:id="rId8" w:type="even"/>
          <w:pgSz w:w="16838" w:h="11906" w:orient="landscape"/>
          <w:pgMar w:top="2098" w:right="1474" w:bottom="1984" w:left="1587" w:header="851" w:footer="850" w:gutter="0"/>
          <w:pgBorders>
            <w:top w:val="none" w:sz="0" w:space="0"/>
            <w:left w:val="none" w:sz="0" w:space="0"/>
            <w:bottom w:val="none" w:sz="0" w:space="0"/>
            <w:right w:val="none" w:sz="0" w:space="0"/>
          </w:pgBorders>
          <w:pgNumType w:fmt="decimal" w:start="10"/>
          <w:cols w:space="0" w:num="1"/>
          <w:rtlGutter w:val="0"/>
          <w:docGrid w:type="lines" w:linePitch="322" w:charSpace="0"/>
        </w:sectPr>
      </w:pPr>
    </w:p>
    <w:p w14:paraId="0549AAC0">
      <w:pPr>
        <w:spacing w:line="620" w:lineRule="exact"/>
        <w:jc w:val="left"/>
        <w:rPr>
          <w:rFonts w:hint="eastAsia" w:ascii="黑体" w:hAnsi="黑体" w:eastAsia="黑体" w:cs="黑体"/>
          <w:i w:val="0"/>
          <w:caps w:val="0"/>
          <w:color w:val="auto"/>
          <w:spacing w:val="0"/>
          <w:kern w:val="0"/>
          <w:sz w:val="32"/>
          <w:szCs w:val="32"/>
          <w:shd w:val="clear" w:fill="FFFFFF"/>
          <w:lang w:val="en-US" w:eastAsia="zh-CN" w:bidi="ar"/>
        </w:rPr>
      </w:pPr>
      <w:bookmarkStart w:id="4" w:name="_GoBack"/>
      <w:bookmarkEnd w:id="4"/>
    </w:p>
    <w:sectPr>
      <w:headerReference r:id="rId10" w:type="default"/>
      <w:footerReference r:id="rId11"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47BED4-3AA2-43E2-A7AD-ED45587C00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5F95F9-98CE-47C0-83DD-BE8E3838E72E}"/>
  </w:font>
  <w:font w:name="楷体_GB2312">
    <w:panose1 w:val="02010609030101010101"/>
    <w:charset w:val="86"/>
    <w:family w:val="auto"/>
    <w:pitch w:val="default"/>
    <w:sig w:usb0="00000001" w:usb1="080E0000" w:usb2="00000000" w:usb3="00000000" w:csb0="00040000" w:csb1="00000000"/>
    <w:embedRegular r:id="rId3" w:fontKey="{AC01E919-18D5-4CD1-8ABB-2A7C48A30C1B}"/>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633B5636-5D1E-4B3E-8BB5-CF59C35F1E7F}"/>
  </w:font>
  <w:font w:name="方正小标宋简体">
    <w:panose1 w:val="03000509000000000000"/>
    <w:charset w:val="86"/>
    <w:family w:val="auto"/>
    <w:pitch w:val="default"/>
    <w:sig w:usb0="00000001" w:usb1="080E0000" w:usb2="00000000" w:usb3="00000000" w:csb0="00040000" w:csb1="00000000"/>
    <w:embedRegular r:id="rId5" w:fontKey="{76808227-ABDA-467C-995F-33CB7E40F21C}"/>
  </w:font>
  <w:font w:name="方正小标宋_GBK">
    <w:panose1 w:val="02000000000000000000"/>
    <w:charset w:val="86"/>
    <w:family w:val="script"/>
    <w:pitch w:val="default"/>
    <w:sig w:usb0="A00002BF" w:usb1="38CF7CFA" w:usb2="00082016" w:usb3="00000000" w:csb0="00040001" w:csb1="00000000"/>
    <w:embedRegular r:id="rId6" w:fontKey="{60889590-D672-436E-AFA5-5B2140F0AD97}"/>
  </w:font>
  <w:font w:name="等线">
    <w:panose1 w:val="02010600030101010101"/>
    <w:charset w:val="86"/>
    <w:family w:val="auto"/>
    <w:pitch w:val="default"/>
    <w:sig w:usb0="A00002BF" w:usb1="38CF7CFA" w:usb2="00000016" w:usb3="00000000" w:csb0="0004000F" w:csb1="00000000"/>
    <w:embedRegular r:id="rId7" w:fontKey="{370B831D-C02E-439E-AF48-AD5069CCC3D2}"/>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21D56">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01548">
                          <w:pPr>
                            <w:widowControl w:val="0"/>
                            <w:snapToGrid w:val="0"/>
                            <w:jc w:val="left"/>
                            <w:rPr>
                              <w:rFonts w:hint="eastAsia" w:ascii="宋体" w:hAnsi="宋体" w:eastAsia="宋体" w:cs="宋体"/>
                              <w:kern w:val="2"/>
                              <w:sz w:val="28"/>
                              <w:szCs w:val="44"/>
                              <w:lang w:val="en-US" w:eastAsia="zh-CN" w:bidi="ar-SA"/>
                            </w:rPr>
                          </w:pPr>
                          <w:r>
                            <w:rPr>
                              <w:rFonts w:hint="eastAsia" w:ascii="宋体" w:hAnsi="宋体" w:eastAsia="宋体" w:cs="宋体"/>
                              <w:kern w:val="2"/>
                              <w:sz w:val="28"/>
                              <w:szCs w:val="44"/>
                              <w:lang w:val="en-US" w:eastAsia="zh-CN" w:bidi="ar-SA"/>
                            </w:rPr>
                            <w:t xml:space="preserve">— </w:t>
                          </w: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- 1 -</w:t>
                          </w:r>
                          <w:r>
                            <w:rPr>
                              <w:rFonts w:hint="eastAsia" w:ascii="宋体" w:hAnsi="宋体" w:eastAsia="宋体" w:cs="宋体"/>
                              <w:kern w:val="2"/>
                              <w:sz w:val="28"/>
                              <w:szCs w:val="44"/>
                              <w:lang w:val="en-US" w:eastAsia="zh-CN" w:bidi="ar-SA"/>
                            </w:rPr>
                            <w:fldChar w:fldCharType="end"/>
                          </w:r>
                          <w:r>
                            <w:rPr>
                              <w:rFonts w:hint="eastAsia" w:ascii="宋体" w:hAnsi="宋体" w:eastAsia="宋体" w:cs="宋体"/>
                              <w:kern w:val="2"/>
                              <w:sz w:val="28"/>
                              <w:szCs w:val="4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5301548">
                    <w:pPr>
                      <w:widowControl w:val="0"/>
                      <w:snapToGrid w:val="0"/>
                      <w:jc w:val="left"/>
                      <w:rPr>
                        <w:rFonts w:hint="eastAsia" w:ascii="宋体" w:hAnsi="宋体" w:eastAsia="宋体" w:cs="宋体"/>
                        <w:kern w:val="2"/>
                        <w:sz w:val="28"/>
                        <w:szCs w:val="44"/>
                        <w:lang w:val="en-US" w:eastAsia="zh-CN" w:bidi="ar-SA"/>
                      </w:rPr>
                    </w:pPr>
                    <w:r>
                      <w:rPr>
                        <w:rFonts w:hint="eastAsia" w:ascii="宋体" w:hAnsi="宋体" w:eastAsia="宋体" w:cs="宋体"/>
                        <w:kern w:val="2"/>
                        <w:sz w:val="28"/>
                        <w:szCs w:val="44"/>
                        <w:lang w:val="en-US" w:eastAsia="zh-CN" w:bidi="ar-SA"/>
                      </w:rPr>
                      <w:t xml:space="preserve">— </w:t>
                    </w:r>
                    <w:r>
                      <w:rPr>
                        <w:rFonts w:hint="eastAsia" w:ascii="宋体" w:hAnsi="宋体" w:eastAsia="宋体" w:cs="宋体"/>
                        <w:kern w:val="2"/>
                        <w:sz w:val="28"/>
                        <w:szCs w:val="44"/>
                        <w:lang w:val="en-US" w:eastAsia="zh-CN" w:bidi="ar-SA"/>
                      </w:rPr>
                      <w:fldChar w:fldCharType="begin"/>
                    </w:r>
                    <w:r>
                      <w:rPr>
                        <w:rFonts w:hint="eastAsia" w:ascii="宋体" w:hAnsi="宋体" w:eastAsia="宋体" w:cs="宋体"/>
                        <w:kern w:val="2"/>
                        <w:sz w:val="28"/>
                        <w:szCs w:val="44"/>
                        <w:lang w:val="en-US" w:eastAsia="zh-CN" w:bidi="ar-SA"/>
                      </w:rPr>
                      <w:instrText xml:space="preserve"> PAGE  \* MERGEFORMAT </w:instrText>
                    </w:r>
                    <w:r>
                      <w:rPr>
                        <w:rFonts w:hint="eastAsia" w:ascii="宋体" w:hAnsi="宋体" w:eastAsia="宋体" w:cs="宋体"/>
                        <w:kern w:val="2"/>
                        <w:sz w:val="28"/>
                        <w:szCs w:val="44"/>
                        <w:lang w:val="en-US" w:eastAsia="zh-CN" w:bidi="ar-SA"/>
                      </w:rPr>
                      <w:fldChar w:fldCharType="separate"/>
                    </w:r>
                    <w:r>
                      <w:rPr>
                        <w:rFonts w:hint="eastAsia" w:ascii="宋体" w:hAnsi="宋体" w:eastAsia="宋体" w:cs="宋体"/>
                        <w:kern w:val="2"/>
                        <w:sz w:val="28"/>
                        <w:szCs w:val="44"/>
                        <w:lang w:val="en-US" w:eastAsia="zh-CN" w:bidi="ar-SA"/>
                      </w:rPr>
                      <w:t>- 1 -</w:t>
                    </w:r>
                    <w:r>
                      <w:rPr>
                        <w:rFonts w:hint="eastAsia" w:ascii="宋体" w:hAnsi="宋体" w:eastAsia="宋体" w:cs="宋体"/>
                        <w:kern w:val="2"/>
                        <w:sz w:val="28"/>
                        <w:szCs w:val="44"/>
                        <w:lang w:val="en-US" w:eastAsia="zh-CN" w:bidi="ar-SA"/>
                      </w:rPr>
                      <w:fldChar w:fldCharType="end"/>
                    </w:r>
                    <w:r>
                      <w:rPr>
                        <w:rFonts w:hint="eastAsia" w:ascii="宋体" w:hAnsi="宋体" w:eastAsia="宋体" w:cs="宋体"/>
                        <w:kern w:val="2"/>
                        <w:sz w:val="28"/>
                        <w:szCs w:val="44"/>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DFB73">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8A35F">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4A8A35F">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80FA3">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18BA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09A3">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53395">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6853395">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277D3">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0E9F">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2"/>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B05AC">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2"/>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A478A">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2"/>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43220"/>
    <w:multiLevelType w:val="singleLevel"/>
    <w:tmpl w:val="FFD432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3C31B42"/>
    <w:rsid w:val="042910AA"/>
    <w:rsid w:val="08B461E2"/>
    <w:rsid w:val="09201CCE"/>
    <w:rsid w:val="09DA28B3"/>
    <w:rsid w:val="0A9970A5"/>
    <w:rsid w:val="0AD452EA"/>
    <w:rsid w:val="0E107158"/>
    <w:rsid w:val="119733B3"/>
    <w:rsid w:val="143C6D8F"/>
    <w:rsid w:val="14F32FB9"/>
    <w:rsid w:val="1558097B"/>
    <w:rsid w:val="158E0F88"/>
    <w:rsid w:val="179B273C"/>
    <w:rsid w:val="17C06514"/>
    <w:rsid w:val="18F37407"/>
    <w:rsid w:val="196A494E"/>
    <w:rsid w:val="1C2B330F"/>
    <w:rsid w:val="1D0D3BB9"/>
    <w:rsid w:val="1E6F1C79"/>
    <w:rsid w:val="236D431B"/>
    <w:rsid w:val="260B2217"/>
    <w:rsid w:val="26521602"/>
    <w:rsid w:val="26804A23"/>
    <w:rsid w:val="26B47E36"/>
    <w:rsid w:val="27F14232"/>
    <w:rsid w:val="28C75DE2"/>
    <w:rsid w:val="2AB35176"/>
    <w:rsid w:val="2B1E0CAF"/>
    <w:rsid w:val="2C675170"/>
    <w:rsid w:val="2D837FEC"/>
    <w:rsid w:val="2D890116"/>
    <w:rsid w:val="2DEA79E8"/>
    <w:rsid w:val="2F7C41F6"/>
    <w:rsid w:val="307C1C92"/>
    <w:rsid w:val="30F745DC"/>
    <w:rsid w:val="32475C88"/>
    <w:rsid w:val="341D0311"/>
    <w:rsid w:val="35795A17"/>
    <w:rsid w:val="36311790"/>
    <w:rsid w:val="37890718"/>
    <w:rsid w:val="39BF75E9"/>
    <w:rsid w:val="3A4A23D9"/>
    <w:rsid w:val="45CA3214"/>
    <w:rsid w:val="45E52F0F"/>
    <w:rsid w:val="488B41AA"/>
    <w:rsid w:val="4AC26B09"/>
    <w:rsid w:val="4DF16B57"/>
    <w:rsid w:val="4EA64F9D"/>
    <w:rsid w:val="52EF73C4"/>
    <w:rsid w:val="54FC4376"/>
    <w:rsid w:val="566A1C6C"/>
    <w:rsid w:val="596B428A"/>
    <w:rsid w:val="5C9443DE"/>
    <w:rsid w:val="5CDB3A5A"/>
    <w:rsid w:val="5FFC2347"/>
    <w:rsid w:val="60051A8A"/>
    <w:rsid w:val="65C46EB0"/>
    <w:rsid w:val="686B70CE"/>
    <w:rsid w:val="6BCA30AA"/>
    <w:rsid w:val="6C5C6966"/>
    <w:rsid w:val="6F6053C9"/>
    <w:rsid w:val="6FB57D45"/>
    <w:rsid w:val="70B94B47"/>
    <w:rsid w:val="75452AD2"/>
    <w:rsid w:val="75841DBA"/>
    <w:rsid w:val="78762B5D"/>
    <w:rsid w:val="7B62074E"/>
    <w:rsid w:val="7C0D486D"/>
    <w:rsid w:val="7C133EBD"/>
    <w:rsid w:val="7DA84429"/>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ind w:firstLine="560" w:firstLineChars="200"/>
      <w:jc w:val="both"/>
      <w:outlineLvl w:val="0"/>
    </w:pPr>
    <w:rPr>
      <w:rFonts w:ascii="宋体" w:hAnsi="宋体" w:eastAsia="黑体" w:cs="宋体"/>
      <w:bCs/>
      <w:kern w:val="44"/>
      <w:sz w:val="32"/>
      <w:szCs w:val="4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5">
    <w:name w:val="Body Text Indent"/>
    <w:unhideWhenUsed/>
    <w:qFormat/>
    <w:uiPriority w:val="99"/>
    <w:pPr>
      <w:widowControl w:val="0"/>
      <w:spacing w:after="120"/>
      <w:ind w:left="420" w:leftChars="200"/>
      <w:jc w:val="both"/>
    </w:pPr>
    <w:rPr>
      <w:rFonts w:eastAsia="宋体" w:asciiTheme="minorHAnsi" w:hAnsiTheme="minorHAnsi" w:cstheme="minorBidi"/>
      <w:kern w:val="2"/>
      <w:sz w:val="21"/>
      <w:szCs w:val="21"/>
      <w:lang w:val="en-US" w:eastAsia="zh-CN" w:bidi="ar-SA"/>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paragraph" w:styleId="10">
    <w:name w:val="Body Text First Indent 2"/>
    <w:next w:val="1"/>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6160</Words>
  <Characters>6208</Characters>
  <Lines>0</Lines>
  <Paragraphs>0</Paragraphs>
  <TotalTime>0</TotalTime>
  <ScaleCrop>false</ScaleCrop>
  <LinksUpToDate>false</LinksUpToDate>
  <CharactersWithSpaces>6218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zhuanban</cp:lastModifiedBy>
  <cp:lastPrinted>2021-08-20T10:47:00Z</cp:lastPrinted>
  <dcterms:modified xsi:type="dcterms:W3CDTF">2025-06-20T02:26:00Z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95EB1D87B29D43AEB4FFCD1F16AF776D_13</vt:lpwstr>
  </property>
  <property fmtid="{D5CDD505-2E9C-101B-9397-08002B2CF9AE}" pid="4" name="KSOTemplateDocerSaveRecord">
    <vt:lpwstr>eyJoZGlkIjoiZjMzMDRmYmUyOTMxYTYxYTRiZmI0OGFlOTY0MmM4NmYifQ==</vt:lpwstr>
  </property>
</Properties>
</file>